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6F" w:rsidRPr="00822945" w:rsidRDefault="0057478C" w:rsidP="003D4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</w:t>
      </w:r>
      <w:r w:rsidR="00CB21ED" w:rsidRPr="00822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7469" w:rsidRPr="00650DC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_________________</w:t>
      </w:r>
    </w:p>
    <w:p w:rsidR="0010236F" w:rsidRPr="00A358CF" w:rsidRDefault="00650DCB" w:rsidP="00650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оказании сервисных услуг</w:t>
      </w:r>
    </w:p>
    <w:p w:rsidR="0010236F" w:rsidRPr="00A358CF" w:rsidRDefault="0010236F" w:rsidP="003D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6F" w:rsidRPr="00A358CF" w:rsidRDefault="0010236F" w:rsidP="00F2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C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Pr="00A358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</w:t>
      </w:r>
      <w:r w:rsidR="00F2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3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2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22945">
        <w:rPr>
          <w:rFonts w:ascii="Times New Roman" w:hAnsi="Times New Roman" w:cs="Times New Roman"/>
          <w:color w:val="000000"/>
          <w:sz w:val="24"/>
        </w:rPr>
        <w:t>«</w:t>
      </w:r>
      <w:r w:rsidR="00822945" w:rsidRPr="0007289D">
        <w:rPr>
          <w:rFonts w:ascii="Times New Roman" w:hAnsi="Times New Roman" w:cs="Times New Roman"/>
          <w:color w:val="000000"/>
          <w:sz w:val="24"/>
          <w:highlight w:val="yellow"/>
        </w:rPr>
        <w:t>__</w:t>
      </w:r>
      <w:r w:rsidR="00822945">
        <w:rPr>
          <w:rFonts w:ascii="Times New Roman" w:hAnsi="Times New Roman" w:cs="Times New Roman"/>
          <w:color w:val="000000"/>
          <w:sz w:val="24"/>
        </w:rPr>
        <w:t xml:space="preserve">» </w:t>
      </w:r>
      <w:r w:rsidR="00822945" w:rsidRPr="0007289D">
        <w:rPr>
          <w:rFonts w:ascii="Times New Roman" w:hAnsi="Times New Roman" w:cs="Times New Roman"/>
          <w:color w:val="000000"/>
          <w:sz w:val="24"/>
          <w:highlight w:val="yellow"/>
        </w:rPr>
        <w:t>____________</w:t>
      </w:r>
      <w:r w:rsidR="00822945">
        <w:rPr>
          <w:rFonts w:ascii="Times New Roman" w:hAnsi="Times New Roman" w:cs="Times New Roman"/>
          <w:color w:val="000000"/>
          <w:sz w:val="24"/>
        </w:rPr>
        <w:t xml:space="preserve"> 20</w:t>
      </w:r>
      <w:r w:rsidR="00822945" w:rsidRPr="0007289D">
        <w:rPr>
          <w:rFonts w:ascii="Times New Roman" w:hAnsi="Times New Roman" w:cs="Times New Roman"/>
          <w:color w:val="000000"/>
          <w:sz w:val="24"/>
          <w:highlight w:val="yellow"/>
        </w:rPr>
        <w:t>__</w:t>
      </w:r>
      <w:r w:rsidR="00822945"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10236F" w:rsidRPr="00A358CF" w:rsidRDefault="0010236F" w:rsidP="00102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7B3" w:rsidRPr="00A358CF" w:rsidRDefault="00A07469" w:rsidP="0017026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Общество с ограниченной ответственностью «ГК ЭТЕРНИС»</w:t>
      </w:r>
      <w:r w:rsidR="00C85561">
        <w:rPr>
          <w:rFonts w:ascii="Times New Roman" w:hAnsi="Times New Roman" w:cs="Times New Roman"/>
          <w:color w:val="000000"/>
          <w:sz w:val="24"/>
        </w:rPr>
        <w:t>, именуемое</w:t>
      </w:r>
      <w:r w:rsidR="00822945">
        <w:rPr>
          <w:rFonts w:ascii="Times New Roman" w:hAnsi="Times New Roman" w:cs="Times New Roman"/>
          <w:color w:val="000000"/>
          <w:sz w:val="24"/>
        </w:rPr>
        <w:t xml:space="preserve"> в дальнейшем </w:t>
      </w:r>
      <w:r w:rsidR="00822945" w:rsidRPr="00A07469">
        <w:rPr>
          <w:rFonts w:ascii="Times New Roman" w:hAnsi="Times New Roman" w:cs="Times New Roman"/>
          <w:b/>
          <w:color w:val="000000"/>
          <w:sz w:val="24"/>
        </w:rPr>
        <w:t>«</w:t>
      </w:r>
      <w:r w:rsidRPr="00A07469">
        <w:rPr>
          <w:rFonts w:ascii="Times New Roman" w:hAnsi="Times New Roman" w:cs="Times New Roman"/>
          <w:b/>
          <w:color w:val="000000"/>
          <w:sz w:val="24"/>
        </w:rPr>
        <w:t>Производитель</w:t>
      </w:r>
      <w:r w:rsidR="00822945" w:rsidRPr="00A07469">
        <w:rPr>
          <w:rFonts w:ascii="Times New Roman" w:hAnsi="Times New Roman" w:cs="Times New Roman"/>
          <w:b/>
          <w:color w:val="000000"/>
          <w:sz w:val="24"/>
        </w:rPr>
        <w:t>»</w:t>
      </w:r>
      <w:r w:rsidR="00C85561">
        <w:rPr>
          <w:rFonts w:ascii="Times New Roman" w:hAnsi="Times New Roman" w:cs="Times New Roman"/>
          <w:color w:val="000000"/>
          <w:sz w:val="24"/>
        </w:rPr>
        <w:t>, в лице</w:t>
      </w:r>
      <w:r w:rsidR="0082294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Генерального директора Воробьева Сергея Ивановича</w:t>
      </w:r>
      <w:r w:rsidR="00822945">
        <w:rPr>
          <w:rFonts w:ascii="Times New Roman" w:hAnsi="Times New Roman" w:cs="Times New Roman"/>
          <w:color w:val="000000"/>
          <w:sz w:val="24"/>
        </w:rPr>
        <w:t xml:space="preserve">, действующего на основании </w:t>
      </w:r>
      <w:r w:rsidRPr="00A07469">
        <w:rPr>
          <w:rFonts w:ascii="Times New Roman" w:hAnsi="Times New Roman" w:cs="Times New Roman"/>
          <w:color w:val="000000"/>
          <w:sz w:val="24"/>
        </w:rPr>
        <w:t>Устава,</w:t>
      </w:r>
      <w:r w:rsidR="00822945">
        <w:rPr>
          <w:rFonts w:ascii="Times New Roman" w:hAnsi="Times New Roman" w:cs="Times New Roman"/>
          <w:color w:val="000000"/>
          <w:sz w:val="24"/>
        </w:rPr>
        <w:t xml:space="preserve"> с одной </w:t>
      </w:r>
      <w:r w:rsidR="00822945" w:rsidRPr="00FB2F05">
        <w:rPr>
          <w:rFonts w:ascii="Times New Roman" w:hAnsi="Times New Roman" w:cs="Times New Roman"/>
          <w:sz w:val="24"/>
        </w:rPr>
        <w:t xml:space="preserve">стороны и </w:t>
      </w:r>
      <w:r>
        <w:rPr>
          <w:rFonts w:ascii="Times New Roman" w:hAnsi="Times New Roman" w:cs="Times New Roman"/>
          <w:sz w:val="24"/>
        </w:rPr>
        <w:t xml:space="preserve">аккредитованный сервисный центр </w:t>
      </w:r>
      <w:r w:rsidR="00822945" w:rsidRPr="0007289D">
        <w:rPr>
          <w:rFonts w:ascii="Times New Roman" w:hAnsi="Times New Roman" w:cs="Times New Roman"/>
          <w:i/>
          <w:color w:val="000000"/>
          <w:sz w:val="24"/>
          <w:highlight w:val="yellow"/>
        </w:rPr>
        <w:t>Наименование организации</w:t>
      </w:r>
      <w:r w:rsidR="00822945" w:rsidRPr="00FB2F05">
        <w:rPr>
          <w:rFonts w:ascii="Times New Roman" w:hAnsi="Times New Roman" w:cs="Times New Roman"/>
          <w:sz w:val="24"/>
        </w:rPr>
        <w:t>, именуемое в дальнейшем «</w:t>
      </w:r>
      <w:r>
        <w:rPr>
          <w:rFonts w:ascii="Times New Roman" w:hAnsi="Times New Roman" w:cs="Times New Roman"/>
          <w:sz w:val="24"/>
        </w:rPr>
        <w:t>АСЦ</w:t>
      </w:r>
      <w:r w:rsidR="00822945" w:rsidRPr="00FB2F05">
        <w:rPr>
          <w:rFonts w:ascii="Times New Roman" w:hAnsi="Times New Roman" w:cs="Times New Roman"/>
          <w:sz w:val="24"/>
        </w:rPr>
        <w:t xml:space="preserve">», в лице </w:t>
      </w:r>
      <w:r w:rsidR="00822945" w:rsidRPr="0007289D">
        <w:rPr>
          <w:rFonts w:ascii="Times New Roman" w:hAnsi="Times New Roman" w:cs="Times New Roman"/>
          <w:i/>
          <w:color w:val="000000"/>
          <w:sz w:val="24"/>
          <w:highlight w:val="yellow"/>
        </w:rPr>
        <w:t>должность и Ф.И.О.</w:t>
      </w:r>
      <w:r w:rsidR="00822945" w:rsidRPr="00FB2F05">
        <w:rPr>
          <w:rFonts w:ascii="Times New Roman" w:hAnsi="Times New Roman" w:cs="Times New Roman"/>
          <w:sz w:val="24"/>
        </w:rPr>
        <w:t xml:space="preserve">, действующего на основании </w:t>
      </w:r>
      <w:r w:rsidR="00822945" w:rsidRPr="0007289D">
        <w:rPr>
          <w:rFonts w:ascii="Times New Roman" w:hAnsi="Times New Roman" w:cs="Times New Roman"/>
          <w:i/>
          <w:color w:val="000000"/>
          <w:sz w:val="24"/>
          <w:highlight w:val="yellow"/>
        </w:rPr>
        <w:t>либо Устава, либо Доверенности с указанием даты выдачи</w:t>
      </w:r>
      <w:r w:rsidR="00C85561">
        <w:rPr>
          <w:rFonts w:ascii="Times New Roman" w:hAnsi="Times New Roman" w:cs="Times New Roman"/>
          <w:i/>
          <w:color w:val="000000"/>
          <w:sz w:val="24"/>
        </w:rPr>
        <w:t>,</w:t>
      </w:r>
      <w:r w:rsidR="00822945" w:rsidRPr="00FB2F05">
        <w:rPr>
          <w:rFonts w:ascii="Times New Roman" w:hAnsi="Times New Roman" w:cs="Times New Roman"/>
          <w:sz w:val="24"/>
        </w:rPr>
        <w:t xml:space="preserve"> с другой стороны, вместе именуемые Стороны, заключили настоящий</w:t>
      </w:r>
      <w:proofErr w:type="gramEnd"/>
      <w:r w:rsidR="00822945" w:rsidRPr="00FB2F05">
        <w:rPr>
          <w:rFonts w:ascii="Times New Roman" w:hAnsi="Times New Roman" w:cs="Times New Roman"/>
          <w:sz w:val="24"/>
        </w:rPr>
        <w:t xml:space="preserve"> Договор о нижеследующем:</w:t>
      </w:r>
    </w:p>
    <w:p w:rsidR="00B413E0" w:rsidRPr="00A358CF" w:rsidRDefault="00B413E0" w:rsidP="00D027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236F" w:rsidRDefault="0010236F" w:rsidP="00C9302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820127" w:rsidRPr="00D26023" w:rsidRDefault="00820127" w:rsidP="0082012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81D" w:rsidRDefault="00A07469" w:rsidP="00BB381D">
      <w:pPr>
        <w:pStyle w:val="a5"/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</w:t>
      </w:r>
      <w:r w:rsidRPr="00A0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поручает, а АСЦ принимает на себя обязанности по предоставлению сервисных услуг Потребителям продукции</w:t>
      </w:r>
      <w:r w:rsidR="005D2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D29FE" w:rsidRPr="00E508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модулей порошкового пожаротушения</w:t>
      </w:r>
      <w:r w:rsidR="00E5082C" w:rsidRPr="00E5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 «Гарант» и модульных установок пожаротушения тонкораспыленной водой </w:t>
      </w:r>
      <w:r w:rsidR="00E508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 «Гарант»</w:t>
      </w:r>
      <w:r w:rsidRPr="00A0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0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модификаций указан</w:t>
      </w:r>
      <w:r w:rsidRPr="00A0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</w:t>
      </w:r>
      <w:r w:rsidR="00E5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A0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Договору </w:t>
      </w:r>
      <w:r w:rsidRPr="00A0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 тексту – </w:t>
      </w:r>
      <w:r w:rsidR="00E508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50D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борудование</w:t>
      </w:r>
      <w:r w:rsidRPr="00A074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51670" w:rsidRPr="00E5082C" w:rsidRDefault="00E5082C" w:rsidP="00E5082C">
      <w:pPr>
        <w:pStyle w:val="a5"/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Сервисные</w:t>
      </w:r>
      <w:r w:rsidR="00BB381D" w:rsidRPr="00BB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включают</w:t>
      </w:r>
      <w:r w:rsidR="00BB381D" w:rsidRPr="00BB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</w:t>
      </w:r>
      <w:r w:rsidRPr="00E50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перезарядке и утилизации</w:t>
      </w:r>
      <w:r w:rsidRPr="00BB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Оборудования </w:t>
      </w:r>
      <w:r w:rsidR="00BB381D" w:rsidRPr="00BB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любого потребителя данного О</w:t>
      </w:r>
      <w:r w:rsidR="00BB381D" w:rsidRPr="00BB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борудования, независимо от того, какая организация до этого осуществляла продажу, с последующей возможностью передачи соответствующего обращения в техническую поддержку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Производителя.</w:t>
      </w:r>
    </w:p>
    <w:p w:rsidR="0010236F" w:rsidRPr="00650DCB" w:rsidRDefault="00E5082C" w:rsidP="00650DCB">
      <w:pPr>
        <w:pStyle w:val="a5"/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претензии Потребителей О</w:t>
      </w:r>
      <w:r w:rsidR="00BB381D" w:rsidRPr="00BB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борудования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его перезарядке</w:t>
      </w:r>
      <w:r w:rsidR="00170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утилизации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02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АСЦ</w:t>
      </w:r>
      <w:r w:rsidR="00650D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381D" w:rsidRPr="00BB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предъявляются к АСЦ, </w:t>
      </w:r>
      <w:r w:rsidR="0065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оказавшей услуги по перезарядке </w:t>
      </w:r>
      <w:r w:rsidR="00170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утилизации </w:t>
      </w:r>
      <w:r w:rsidR="00650D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B38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борудования.</w:t>
      </w:r>
    </w:p>
    <w:p w:rsidR="00C51670" w:rsidRPr="00C93022" w:rsidRDefault="00C51670" w:rsidP="00C5167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7012" w:rsidRDefault="006D4A32" w:rsidP="00B57012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АСЦ</w:t>
      </w:r>
    </w:p>
    <w:p w:rsidR="00820127" w:rsidRPr="00B57012" w:rsidRDefault="00820127" w:rsidP="0082012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103" w:rsidRPr="00B57012" w:rsidRDefault="00B57012" w:rsidP="004459CE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012">
        <w:rPr>
          <w:rFonts w:ascii="Times New Roman" w:hAnsi="Times New Roman" w:cs="Times New Roman"/>
          <w:b/>
          <w:sz w:val="24"/>
          <w:szCs w:val="24"/>
        </w:rPr>
        <w:t>АСЦ обязан</w:t>
      </w:r>
      <w:r w:rsidR="00FA5196">
        <w:rPr>
          <w:rFonts w:ascii="Times New Roman" w:hAnsi="Times New Roman" w:cs="Times New Roman"/>
          <w:b/>
          <w:sz w:val="24"/>
          <w:szCs w:val="24"/>
        </w:rPr>
        <w:t>:</w:t>
      </w:r>
    </w:p>
    <w:p w:rsidR="00B57012" w:rsidRPr="00AD0D29" w:rsidRDefault="00B57012" w:rsidP="00B57012">
      <w:pPr>
        <w:pStyle w:val="a5"/>
        <w:numPr>
          <w:ilvl w:val="2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D29">
        <w:rPr>
          <w:rFonts w:ascii="Times New Roman" w:hAnsi="Times New Roman" w:cs="Times New Roman"/>
          <w:sz w:val="24"/>
          <w:szCs w:val="24"/>
        </w:rPr>
        <w:t xml:space="preserve">Осуществлять перезарядку и утилизацию Оборудования в регионе в соответствии с электронной документацией, переданной Производителем с адреса электронной почты </w:t>
      </w:r>
      <w:hyperlink r:id="rId9" w:history="1">
        <w:r w:rsidR="00AD0D29" w:rsidRPr="00AD0D2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market</w:t>
        </w:r>
        <w:r w:rsidR="00AD0D29" w:rsidRPr="00AD0D29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AD0D29" w:rsidRPr="00AD0D2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eternis</w:t>
        </w:r>
        <w:proofErr w:type="spellEnd"/>
        <w:r w:rsidR="00AD0D29" w:rsidRPr="00AD0D2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D0D29" w:rsidRPr="00AD0D2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D0D29">
        <w:rPr>
          <w:rFonts w:ascii="Times New Roman" w:hAnsi="Times New Roman" w:cs="Times New Roman"/>
          <w:sz w:val="24"/>
          <w:szCs w:val="24"/>
        </w:rPr>
        <w:t xml:space="preserve"> на адрес электронной почты АСЦ </w:t>
      </w:r>
      <w:r w:rsidRPr="00AD0D29">
        <w:rPr>
          <w:rFonts w:ascii="Times New Roman" w:hAnsi="Times New Roman" w:cs="Times New Roman"/>
          <w:sz w:val="24"/>
          <w:szCs w:val="24"/>
          <w:highlight w:val="yellow"/>
        </w:rPr>
        <w:t>__________________________</w:t>
      </w:r>
      <w:r w:rsidRPr="00AD0D29">
        <w:rPr>
          <w:rFonts w:ascii="Times New Roman" w:hAnsi="Times New Roman" w:cs="Times New Roman"/>
          <w:sz w:val="24"/>
          <w:szCs w:val="24"/>
        </w:rPr>
        <w:t>.</w:t>
      </w:r>
    </w:p>
    <w:p w:rsidR="00B57012" w:rsidRPr="00B57012" w:rsidRDefault="00B57012" w:rsidP="00B57012">
      <w:pPr>
        <w:pStyle w:val="a5"/>
        <w:numPr>
          <w:ilvl w:val="2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Оказывать услуги</w:t>
      </w:r>
      <w:r w:rsidRPr="00B57012">
        <w:rPr>
          <w:rFonts w:ascii="Times New Roman" w:hAnsi="Times New Roman" w:cs="Times New Roman"/>
          <w:sz w:val="24"/>
          <w:szCs w:val="24"/>
        </w:rPr>
        <w:t xml:space="preserve">, предусмотренные пунктом 1.2 настоящего Договора, при обращении любого потребителя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57012">
        <w:rPr>
          <w:rFonts w:ascii="Times New Roman" w:hAnsi="Times New Roman" w:cs="Times New Roman"/>
          <w:sz w:val="24"/>
          <w:szCs w:val="24"/>
        </w:rPr>
        <w:t xml:space="preserve">борудования, независимо от того, какая организация до этого осуществляла </w:t>
      </w:r>
      <w:r w:rsidR="00F2166B">
        <w:rPr>
          <w:rFonts w:ascii="Times New Roman" w:hAnsi="Times New Roman" w:cs="Times New Roman"/>
          <w:sz w:val="24"/>
          <w:szCs w:val="24"/>
        </w:rPr>
        <w:t>продажу, пусконаладочные работы</w:t>
      </w:r>
      <w:r w:rsidR="00170267">
        <w:rPr>
          <w:rFonts w:ascii="Times New Roman" w:hAnsi="Times New Roman" w:cs="Times New Roman"/>
          <w:sz w:val="24"/>
          <w:szCs w:val="24"/>
        </w:rPr>
        <w:t>, гарантийный ремонт, послегарантийный ремонт</w:t>
      </w:r>
      <w:r w:rsidRPr="00B57012">
        <w:rPr>
          <w:rFonts w:ascii="Times New Roman" w:hAnsi="Times New Roman" w:cs="Times New Roman"/>
          <w:sz w:val="24"/>
          <w:szCs w:val="24"/>
        </w:rPr>
        <w:t>, модерни</w:t>
      </w:r>
      <w:r w:rsidR="00F2166B">
        <w:rPr>
          <w:rFonts w:ascii="Times New Roman" w:hAnsi="Times New Roman" w:cs="Times New Roman"/>
          <w:sz w:val="24"/>
          <w:szCs w:val="24"/>
        </w:rPr>
        <w:t>зацию, техническое обслуживание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012" w:rsidRPr="00FA5196" w:rsidRDefault="00B57012" w:rsidP="00B57012">
      <w:pPr>
        <w:pStyle w:val="a5"/>
        <w:numPr>
          <w:ilvl w:val="2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012">
        <w:rPr>
          <w:rFonts w:ascii="Times New Roman" w:hAnsi="Times New Roman" w:cs="Times New Roman"/>
          <w:sz w:val="24"/>
          <w:szCs w:val="24"/>
        </w:rPr>
        <w:t>Обеспечить Потребителям высокий уровень сервисного обслуживания.</w:t>
      </w:r>
    </w:p>
    <w:p w:rsidR="00FA5196" w:rsidRDefault="00FA5196" w:rsidP="00B57012">
      <w:pPr>
        <w:pStyle w:val="a5"/>
        <w:numPr>
          <w:ilvl w:val="2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196">
        <w:rPr>
          <w:rFonts w:ascii="Times New Roman" w:hAnsi="Times New Roman" w:cs="Times New Roman"/>
          <w:sz w:val="24"/>
          <w:szCs w:val="24"/>
        </w:rPr>
        <w:t xml:space="preserve">Воздерживаться от действий, которые могут повредить </w:t>
      </w:r>
      <w:proofErr w:type="gramStart"/>
      <w:r w:rsidRPr="00FA5196">
        <w:rPr>
          <w:rFonts w:ascii="Times New Roman" w:hAnsi="Times New Roman" w:cs="Times New Roman"/>
          <w:sz w:val="24"/>
          <w:szCs w:val="24"/>
        </w:rPr>
        <w:t>репутации</w:t>
      </w:r>
      <w:proofErr w:type="gramEnd"/>
      <w:r w:rsidRPr="00FA5196">
        <w:rPr>
          <w:rFonts w:ascii="Times New Roman" w:hAnsi="Times New Roman" w:cs="Times New Roman"/>
          <w:sz w:val="24"/>
          <w:szCs w:val="24"/>
        </w:rPr>
        <w:t xml:space="preserve"> как самого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A5196">
        <w:rPr>
          <w:rFonts w:ascii="Times New Roman" w:hAnsi="Times New Roman" w:cs="Times New Roman"/>
          <w:sz w:val="24"/>
          <w:szCs w:val="24"/>
        </w:rPr>
        <w:t>борудования, так и её изготовителя в глазах покупателей.</w:t>
      </w:r>
    </w:p>
    <w:p w:rsidR="00FA5196" w:rsidRDefault="00FA5196" w:rsidP="00B57012">
      <w:pPr>
        <w:pStyle w:val="a5"/>
        <w:numPr>
          <w:ilvl w:val="2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196">
        <w:rPr>
          <w:rFonts w:ascii="Times New Roman" w:hAnsi="Times New Roman" w:cs="Times New Roman"/>
          <w:sz w:val="24"/>
          <w:szCs w:val="24"/>
        </w:rPr>
        <w:t xml:space="preserve">Соблюдать интересы </w:t>
      </w:r>
      <w:r>
        <w:rPr>
          <w:rFonts w:ascii="Times New Roman" w:hAnsi="Times New Roman" w:cs="Times New Roman"/>
          <w:sz w:val="24"/>
          <w:szCs w:val="24"/>
        </w:rPr>
        <w:t>Производителя</w:t>
      </w:r>
      <w:r w:rsidRPr="00FA5196">
        <w:rPr>
          <w:rFonts w:ascii="Times New Roman" w:hAnsi="Times New Roman" w:cs="Times New Roman"/>
          <w:sz w:val="24"/>
          <w:szCs w:val="24"/>
        </w:rPr>
        <w:t xml:space="preserve">, не использовать в интересах третьих лиц коммерческие и производственные секреты, доверенные АСЦ, поддерживать на высоком уровне репутацию </w:t>
      </w:r>
      <w:r>
        <w:rPr>
          <w:rFonts w:ascii="Times New Roman" w:hAnsi="Times New Roman" w:cs="Times New Roman"/>
          <w:sz w:val="24"/>
          <w:szCs w:val="24"/>
        </w:rPr>
        <w:t>Производителя</w:t>
      </w:r>
      <w:r w:rsidRPr="00FA5196">
        <w:rPr>
          <w:rFonts w:ascii="Times New Roman" w:hAnsi="Times New Roman" w:cs="Times New Roman"/>
          <w:sz w:val="24"/>
          <w:szCs w:val="24"/>
        </w:rPr>
        <w:t xml:space="preserve"> и его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A5196">
        <w:rPr>
          <w:rFonts w:ascii="Times New Roman" w:hAnsi="Times New Roman" w:cs="Times New Roman"/>
          <w:sz w:val="24"/>
          <w:szCs w:val="24"/>
        </w:rPr>
        <w:t>борудования.</w:t>
      </w:r>
    </w:p>
    <w:p w:rsidR="00FA5196" w:rsidRDefault="00FA5196" w:rsidP="00FA5196">
      <w:pPr>
        <w:pStyle w:val="a5"/>
        <w:numPr>
          <w:ilvl w:val="2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196">
        <w:rPr>
          <w:rFonts w:ascii="Times New Roman" w:hAnsi="Times New Roman" w:cs="Times New Roman"/>
          <w:sz w:val="24"/>
          <w:szCs w:val="24"/>
        </w:rPr>
        <w:t xml:space="preserve">Опубликовать информацию о предоставлении сервисных услуг </w:t>
      </w:r>
      <w:r>
        <w:rPr>
          <w:rFonts w:ascii="Times New Roman" w:hAnsi="Times New Roman" w:cs="Times New Roman"/>
          <w:sz w:val="24"/>
          <w:szCs w:val="24"/>
        </w:rPr>
        <w:t xml:space="preserve">по перезарядке и утилизации Оборудования </w:t>
      </w:r>
      <w:r w:rsidRPr="00FA5196">
        <w:rPr>
          <w:rFonts w:ascii="Times New Roman" w:hAnsi="Times New Roman" w:cs="Times New Roman"/>
          <w:sz w:val="24"/>
          <w:szCs w:val="24"/>
        </w:rPr>
        <w:t>в регионе посредством ее размещения на сайте АСЦ в сети Интернет.</w:t>
      </w:r>
    </w:p>
    <w:p w:rsidR="00FA5196" w:rsidRDefault="00FA5196" w:rsidP="00FA5196">
      <w:pPr>
        <w:pStyle w:val="a5"/>
        <w:numPr>
          <w:ilvl w:val="2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196">
        <w:rPr>
          <w:rFonts w:ascii="Times New Roman" w:hAnsi="Times New Roman" w:cs="Times New Roman"/>
          <w:sz w:val="24"/>
          <w:szCs w:val="24"/>
        </w:rPr>
        <w:t xml:space="preserve">Содержать компетентный и квалифицированный персонал, необходимый для проведения качественного </w:t>
      </w:r>
      <w:r>
        <w:rPr>
          <w:rFonts w:ascii="Times New Roman" w:hAnsi="Times New Roman" w:cs="Times New Roman"/>
          <w:sz w:val="24"/>
          <w:szCs w:val="24"/>
        </w:rPr>
        <w:t>сервисного обслуживания</w:t>
      </w:r>
      <w:r w:rsidRPr="00FA51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178B" w:rsidRPr="006A00F6" w:rsidRDefault="00F0178B" w:rsidP="00FA5196">
      <w:pPr>
        <w:pStyle w:val="a5"/>
        <w:numPr>
          <w:ilvl w:val="2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00F6">
        <w:rPr>
          <w:rFonts w:ascii="Times New Roman" w:hAnsi="Times New Roman" w:cs="Times New Roman"/>
          <w:sz w:val="24"/>
          <w:szCs w:val="24"/>
        </w:rPr>
        <w:t xml:space="preserve">Ежемесячно, до 5 числа месяца, следующего за отчетным, предоставлять Производителю статистику </w:t>
      </w:r>
      <w:r w:rsidR="00C41E09" w:rsidRPr="006A00F6">
        <w:rPr>
          <w:rFonts w:ascii="Times New Roman" w:hAnsi="Times New Roman" w:cs="Times New Roman"/>
          <w:sz w:val="24"/>
          <w:szCs w:val="24"/>
        </w:rPr>
        <w:t>выполненных</w:t>
      </w:r>
      <w:r w:rsidRPr="006A00F6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C41E09" w:rsidRPr="006A00F6">
        <w:rPr>
          <w:rFonts w:ascii="Times New Roman" w:hAnsi="Times New Roman" w:cs="Times New Roman"/>
          <w:sz w:val="24"/>
          <w:szCs w:val="24"/>
        </w:rPr>
        <w:t>в соответствии с Приложением №2</w:t>
      </w:r>
      <w:r w:rsidR="00A8171B" w:rsidRPr="006A00F6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C41E09" w:rsidRPr="006A00F6">
        <w:rPr>
          <w:rFonts w:ascii="Times New Roman" w:hAnsi="Times New Roman" w:cs="Times New Roman"/>
          <w:sz w:val="24"/>
          <w:szCs w:val="24"/>
        </w:rPr>
        <w:t>.</w:t>
      </w:r>
      <w:r w:rsidRPr="006A00F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5F3020" w:rsidRPr="00DE274C" w:rsidRDefault="00FA5196" w:rsidP="004459CE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96">
        <w:rPr>
          <w:rFonts w:ascii="Times New Roman" w:hAnsi="Times New Roman" w:cs="Times New Roman"/>
          <w:b/>
          <w:sz w:val="24"/>
          <w:szCs w:val="24"/>
        </w:rPr>
        <w:t>АСЦ должен иметь:</w:t>
      </w:r>
    </w:p>
    <w:p w:rsidR="00DE274C" w:rsidRDefault="00DE274C" w:rsidP="00DE274C">
      <w:pPr>
        <w:pStyle w:val="a5"/>
        <w:numPr>
          <w:ilvl w:val="2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DE274C">
        <w:rPr>
          <w:rFonts w:ascii="Times New Roman" w:hAnsi="Times New Roman" w:cs="Times New Roman"/>
          <w:sz w:val="24"/>
          <w:szCs w:val="24"/>
        </w:rPr>
        <w:t>ицензию Государственной противопожарной службы на проведение работ данного вида.</w:t>
      </w:r>
    </w:p>
    <w:p w:rsidR="00DE274C" w:rsidRPr="00DE274C" w:rsidRDefault="00DE274C" w:rsidP="00DE274C">
      <w:pPr>
        <w:pStyle w:val="a5"/>
        <w:numPr>
          <w:ilvl w:val="2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Квалифицированный персонал, прошедший</w:t>
      </w:r>
      <w:r w:rsidRPr="00DE274C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специальное </w:t>
      </w:r>
      <w:proofErr w:type="gramStart"/>
      <w:r w:rsidRPr="00DE274C">
        <w:rPr>
          <w:rFonts w:ascii="Times New Roman" w:hAnsi="Times New Roman" w:cs="Times New Roman"/>
          <w:color w:val="000000"/>
          <w:sz w:val="24"/>
          <w:szCs w:val="24"/>
        </w:rPr>
        <w:t>обучение по обращению</w:t>
      </w:r>
      <w:proofErr w:type="gramEnd"/>
      <w:r w:rsidRPr="00DE274C">
        <w:rPr>
          <w:rFonts w:ascii="Times New Roman" w:hAnsi="Times New Roman" w:cs="Times New Roman"/>
          <w:color w:val="000000"/>
          <w:sz w:val="24"/>
          <w:szCs w:val="24"/>
        </w:rPr>
        <w:t xml:space="preserve"> с сосудами, работающими под давлением, по техническому обслуживанию и безопасной работе с модулями пожаротушения, знающи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E274C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действующую нормативную и техническую документацию на модули пожаротушения, источники вытесняющего газа и на используемые виды </w:t>
      </w:r>
      <w:r>
        <w:rPr>
          <w:rFonts w:ascii="Times New Roman" w:hAnsi="Times New Roman" w:cs="Times New Roman"/>
          <w:color w:val="000000"/>
          <w:sz w:val="24"/>
          <w:szCs w:val="24"/>
        </w:rPr>
        <w:t>огнетушащего вещества</w:t>
      </w:r>
      <w:r w:rsidRPr="00DE27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274C" w:rsidRDefault="00DE274C" w:rsidP="00DE274C">
      <w:pPr>
        <w:pStyle w:val="a5"/>
        <w:numPr>
          <w:ilvl w:val="2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E274C">
        <w:rPr>
          <w:rFonts w:ascii="Times New Roman" w:hAnsi="Times New Roman" w:cs="Times New Roman"/>
          <w:color w:val="000000"/>
          <w:sz w:val="24"/>
          <w:szCs w:val="24"/>
        </w:rPr>
        <w:t>абочее помещение, оснащенное приточно-вытяжной вентиляцией (согласно действующим нормативным документам) и необходимыми складскими помещениями.</w:t>
      </w:r>
    </w:p>
    <w:p w:rsidR="00DE274C" w:rsidRPr="00DE274C" w:rsidRDefault="00DE274C" w:rsidP="00DE274C">
      <w:pPr>
        <w:pStyle w:val="a5"/>
        <w:numPr>
          <w:ilvl w:val="2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E274C">
        <w:rPr>
          <w:rFonts w:ascii="Times New Roman" w:hAnsi="Times New Roman" w:cs="Times New Roman"/>
          <w:color w:val="000000"/>
          <w:sz w:val="24"/>
          <w:szCs w:val="24"/>
        </w:rPr>
        <w:t xml:space="preserve">мкости, необходимые для сбора остатков </w:t>
      </w:r>
      <w:r>
        <w:rPr>
          <w:rFonts w:ascii="Times New Roman" w:hAnsi="Times New Roman" w:cs="Times New Roman"/>
          <w:color w:val="000000"/>
          <w:sz w:val="24"/>
          <w:szCs w:val="24"/>
        </w:rPr>
        <w:t>огнетушащего вещества, выгружаемого</w:t>
      </w:r>
      <w:r w:rsidRPr="00DE274C">
        <w:rPr>
          <w:rFonts w:ascii="Times New Roman" w:hAnsi="Times New Roman" w:cs="Times New Roman"/>
          <w:color w:val="000000"/>
          <w:sz w:val="24"/>
          <w:szCs w:val="24"/>
        </w:rPr>
        <w:t xml:space="preserve"> из модулей пожаротушения.</w:t>
      </w:r>
    </w:p>
    <w:p w:rsidR="00F27103" w:rsidRPr="00DE274C" w:rsidRDefault="00DE274C" w:rsidP="00DE274C">
      <w:pPr>
        <w:pStyle w:val="a5"/>
        <w:numPr>
          <w:ilvl w:val="2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E274C">
        <w:rPr>
          <w:rFonts w:ascii="Times New Roman" w:hAnsi="Times New Roman" w:cs="Times New Roman"/>
          <w:color w:val="000000"/>
          <w:sz w:val="24"/>
          <w:szCs w:val="24"/>
        </w:rPr>
        <w:t xml:space="preserve">еобходимое оборудование для регенерации или утилизации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огнетушащего вещества</w:t>
      </w:r>
      <w:r w:rsidRPr="00DE274C">
        <w:rPr>
          <w:rFonts w:ascii="Times New Roman" w:hAnsi="Times New Roman" w:cs="Times New Roman"/>
          <w:color w:val="000000"/>
          <w:sz w:val="24"/>
          <w:szCs w:val="24"/>
        </w:rPr>
        <w:t xml:space="preserve"> или иметь возможность производить эти операции силами сторонних организаций.</w:t>
      </w:r>
    </w:p>
    <w:p w:rsidR="00DE274C" w:rsidRPr="0006013C" w:rsidRDefault="0006013C" w:rsidP="00DE274C">
      <w:pPr>
        <w:pStyle w:val="a5"/>
        <w:numPr>
          <w:ilvl w:val="2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6013C">
        <w:rPr>
          <w:rFonts w:ascii="Times New Roman" w:hAnsi="Times New Roman" w:cs="Times New Roman"/>
          <w:color w:val="000000"/>
          <w:sz w:val="24"/>
          <w:szCs w:val="24"/>
        </w:rPr>
        <w:t>еобходимый инструмент для выполне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работ по разборке </w:t>
      </w:r>
      <w:r w:rsidRPr="0006013C">
        <w:rPr>
          <w:rFonts w:ascii="Times New Roman" w:hAnsi="Times New Roman" w:cs="Times New Roman"/>
          <w:color w:val="000000"/>
          <w:sz w:val="24"/>
          <w:szCs w:val="24"/>
        </w:rPr>
        <w:t>модулей и безопасный источник освещения (с напряжением питания не более 36 В) для проведения внутреннего осмотра модулей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013C" w:rsidRPr="0006013C" w:rsidRDefault="0006013C" w:rsidP="00DE274C">
      <w:pPr>
        <w:pStyle w:val="a5"/>
        <w:numPr>
          <w:ilvl w:val="2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06013C">
        <w:rPr>
          <w:rFonts w:ascii="Times New Roman" w:hAnsi="Times New Roman" w:cs="Times New Roman"/>
          <w:color w:val="000000"/>
          <w:sz w:val="24"/>
          <w:szCs w:val="24"/>
        </w:rPr>
        <w:t xml:space="preserve">езопасное аттестованное оборудование для проверки основных параметров модулей пожаротушения, </w:t>
      </w:r>
      <w:r>
        <w:rPr>
          <w:rFonts w:ascii="Times New Roman" w:hAnsi="Times New Roman" w:cs="Times New Roman"/>
          <w:color w:val="000000"/>
          <w:sz w:val="24"/>
          <w:szCs w:val="24"/>
        </w:rPr>
        <w:t>огнетушащего вещества</w:t>
      </w:r>
      <w:r w:rsidRPr="0006013C">
        <w:rPr>
          <w:rFonts w:ascii="Times New Roman" w:hAnsi="Times New Roman" w:cs="Times New Roman"/>
          <w:color w:val="000000"/>
          <w:sz w:val="24"/>
          <w:szCs w:val="24"/>
        </w:rPr>
        <w:t>, а также для проведения испытаний модулей пожаротушения и их узлов. В целях безопасности испытательное оборудование следует располагать в отдельном помещении.</w:t>
      </w:r>
    </w:p>
    <w:p w:rsidR="0006013C" w:rsidRPr="0006013C" w:rsidRDefault="0006013C" w:rsidP="00DE274C">
      <w:pPr>
        <w:pStyle w:val="a5"/>
        <w:numPr>
          <w:ilvl w:val="2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Камеру</w:t>
      </w:r>
      <w:r w:rsidRPr="0006013C">
        <w:rPr>
          <w:rFonts w:ascii="Times New Roman" w:hAnsi="Times New Roman" w:cs="Times New Roman"/>
          <w:color w:val="000000"/>
          <w:sz w:val="24"/>
          <w:szCs w:val="24"/>
        </w:rPr>
        <w:t xml:space="preserve"> для сушки и окраски модулей, безопасной системой зарядки модулей, оборудованием для контроля массы модулей.</w:t>
      </w:r>
    </w:p>
    <w:p w:rsidR="0006013C" w:rsidRPr="0006013C" w:rsidRDefault="0006013C" w:rsidP="0006013C">
      <w:pPr>
        <w:pStyle w:val="a5"/>
        <w:numPr>
          <w:ilvl w:val="2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Необходимый</w:t>
      </w:r>
      <w:r w:rsidRPr="0006013C">
        <w:rPr>
          <w:rFonts w:ascii="Times New Roman" w:hAnsi="Times New Roman" w:cs="Times New Roman"/>
          <w:color w:val="000000"/>
          <w:sz w:val="24"/>
          <w:szCs w:val="24"/>
        </w:rPr>
        <w:t xml:space="preserve"> набором этикеток или бирок, на которых указывается информация о выполненных работах, дата их проведения, марка заряженного в модуль пожаротушения огнетушащего порошка, название организац</w:t>
      </w:r>
      <w:proofErr w:type="gramStart"/>
      <w:r w:rsidRPr="0006013C">
        <w:rPr>
          <w:rFonts w:ascii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06013C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юридический адрес.</w:t>
      </w:r>
    </w:p>
    <w:p w:rsidR="00F27103" w:rsidRPr="0006013C" w:rsidRDefault="0006013C" w:rsidP="004459CE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13C">
        <w:rPr>
          <w:rFonts w:ascii="Times New Roman" w:hAnsi="Times New Roman" w:cs="Times New Roman"/>
          <w:b/>
          <w:sz w:val="24"/>
          <w:szCs w:val="24"/>
        </w:rPr>
        <w:t>АСЦ вправе:</w:t>
      </w:r>
    </w:p>
    <w:p w:rsidR="0006013C" w:rsidRPr="0006013C" w:rsidRDefault="0006013C" w:rsidP="0006013C">
      <w:pPr>
        <w:pStyle w:val="a5"/>
        <w:numPr>
          <w:ilvl w:val="2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6013C">
        <w:rPr>
          <w:rFonts w:ascii="Times New Roman" w:hAnsi="Times New Roman" w:cs="Times New Roman"/>
          <w:color w:val="000000"/>
          <w:sz w:val="24"/>
          <w:szCs w:val="24"/>
        </w:rPr>
        <w:t>Использовать свой статус для продвижения своих услуг в зоне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0F85" w:rsidRDefault="0006013C" w:rsidP="0006013C">
      <w:pPr>
        <w:pStyle w:val="a5"/>
        <w:numPr>
          <w:ilvl w:val="2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13C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Приобретать на льготных условиях </w:t>
      </w:r>
      <w:r w:rsidR="001F79CA">
        <w:rPr>
          <w:rFonts w:ascii="Times New Roman" w:hAnsi="Times New Roman" w:cs="Times New Roman"/>
          <w:color w:val="000000"/>
          <w:sz w:val="24"/>
          <w:szCs w:val="24"/>
        </w:rPr>
        <w:t xml:space="preserve">у Производителя </w:t>
      </w:r>
      <w:r w:rsidR="00AD0D29">
        <w:rPr>
          <w:rFonts w:ascii="Times New Roman" w:hAnsi="Times New Roman" w:cs="Times New Roman"/>
          <w:color w:val="000000"/>
          <w:sz w:val="24"/>
          <w:szCs w:val="24"/>
        </w:rPr>
        <w:t xml:space="preserve">ремонтные комплекты для перезарядки </w:t>
      </w:r>
      <w:r w:rsidR="00CF0F85">
        <w:rPr>
          <w:rFonts w:ascii="Times New Roman" w:hAnsi="Times New Roman" w:cs="Times New Roman"/>
          <w:color w:val="000000"/>
          <w:sz w:val="24"/>
          <w:szCs w:val="24"/>
        </w:rPr>
        <w:t>Оборудования.</w:t>
      </w:r>
    </w:p>
    <w:p w:rsidR="0006013C" w:rsidRDefault="00CF0F85" w:rsidP="0006013C">
      <w:pPr>
        <w:pStyle w:val="a5"/>
        <w:numPr>
          <w:ilvl w:val="2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Получать от Производителя </w:t>
      </w:r>
      <w:r w:rsidRPr="00AD0D29">
        <w:rPr>
          <w:rFonts w:ascii="Times New Roman" w:hAnsi="Times New Roman" w:cs="Times New Roman"/>
          <w:color w:val="000000"/>
          <w:sz w:val="24"/>
          <w:szCs w:val="24"/>
        </w:rPr>
        <w:t>комплекты технической документации</w:t>
      </w:r>
      <w:r w:rsidRPr="00CF0F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0F85" w:rsidRDefault="00CF0F85" w:rsidP="0006013C">
      <w:pPr>
        <w:pStyle w:val="a5"/>
        <w:numPr>
          <w:ilvl w:val="2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F85">
        <w:rPr>
          <w:rFonts w:ascii="Times New Roman" w:hAnsi="Times New Roman" w:cs="Times New Roman"/>
          <w:color w:val="000000"/>
          <w:sz w:val="24"/>
          <w:szCs w:val="24"/>
        </w:rPr>
        <w:t>Использовать логотип Производителя на своих бирках, а также пользоваться консультационными услугами Производителя.</w:t>
      </w:r>
    </w:p>
    <w:p w:rsidR="0011067A" w:rsidRDefault="00170267" w:rsidP="0010236F">
      <w:pPr>
        <w:pStyle w:val="a5"/>
        <w:numPr>
          <w:ilvl w:val="2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АСЦ вправе отказать п</w:t>
      </w:r>
      <w:r w:rsidR="00CF0F85" w:rsidRPr="00CF0F85">
        <w:rPr>
          <w:rFonts w:ascii="Times New Roman" w:hAnsi="Times New Roman" w:cs="Times New Roman"/>
          <w:color w:val="000000"/>
          <w:sz w:val="24"/>
          <w:szCs w:val="24"/>
        </w:rPr>
        <w:t xml:space="preserve">отребителю в </w:t>
      </w:r>
      <w:r w:rsidR="00CF0F85">
        <w:rPr>
          <w:rFonts w:ascii="Times New Roman" w:hAnsi="Times New Roman" w:cs="Times New Roman"/>
          <w:color w:val="000000"/>
          <w:sz w:val="24"/>
          <w:szCs w:val="24"/>
        </w:rPr>
        <w:t>перезарядке Оборудования, если выход из строя О</w:t>
      </w:r>
      <w:r w:rsidR="00CF0F85" w:rsidRPr="00CF0F85">
        <w:rPr>
          <w:rFonts w:ascii="Times New Roman" w:hAnsi="Times New Roman" w:cs="Times New Roman"/>
          <w:color w:val="000000"/>
          <w:sz w:val="24"/>
          <w:szCs w:val="24"/>
        </w:rPr>
        <w:t>борудования произошел по вине Потребителя или третьих лиц, вследствие нарушений условий гарантии, указанных в Гарантийном талоне, либо условий эксплуатации, указанных в паспорте (</w:t>
      </w:r>
      <w:r w:rsidR="00CF0F85">
        <w:rPr>
          <w:rFonts w:ascii="Times New Roman" w:hAnsi="Times New Roman" w:cs="Times New Roman"/>
          <w:color w:val="000000"/>
          <w:sz w:val="24"/>
          <w:szCs w:val="24"/>
        </w:rPr>
        <w:t>инструкции по эксплуатации) на О</w:t>
      </w:r>
      <w:r w:rsidR="00CF0F85" w:rsidRPr="00CF0F85">
        <w:rPr>
          <w:rFonts w:ascii="Times New Roman" w:hAnsi="Times New Roman" w:cs="Times New Roman"/>
          <w:color w:val="000000"/>
          <w:sz w:val="24"/>
          <w:szCs w:val="24"/>
        </w:rPr>
        <w:t>борудование, либо нарушений правил хранения, транспортировки, либо обстоятельств непреодолимой силы.</w:t>
      </w:r>
    </w:p>
    <w:p w:rsidR="002D34A6" w:rsidRPr="002D34A6" w:rsidRDefault="002D34A6" w:rsidP="002D34A6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34A6" w:rsidRDefault="002D34A6" w:rsidP="00D2602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ПРОИЗВОДИТЕЛЯ</w:t>
      </w:r>
    </w:p>
    <w:p w:rsidR="00820127" w:rsidRDefault="00820127" w:rsidP="0082012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4A6" w:rsidRPr="002D34A6" w:rsidRDefault="002D34A6" w:rsidP="002D34A6">
      <w:pPr>
        <w:pStyle w:val="a5"/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D34A6">
        <w:rPr>
          <w:rFonts w:ascii="Times New Roman" w:hAnsi="Times New Roman" w:cs="Times New Roman"/>
          <w:b/>
          <w:spacing w:val="-6"/>
          <w:sz w:val="24"/>
          <w:szCs w:val="24"/>
        </w:rPr>
        <w:t>Производитель обязан:</w:t>
      </w:r>
    </w:p>
    <w:p w:rsidR="002D34A6" w:rsidRPr="002D34A6" w:rsidRDefault="002D34A6" w:rsidP="002D34A6">
      <w:pPr>
        <w:pStyle w:val="a5"/>
        <w:numPr>
          <w:ilvl w:val="2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170267">
        <w:rPr>
          <w:rFonts w:ascii="Times New Roman" w:hAnsi="Times New Roman" w:cs="Times New Roman"/>
          <w:color w:val="000000"/>
          <w:sz w:val="24"/>
          <w:szCs w:val="24"/>
        </w:rPr>
        <w:t>10 (десяти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рабочих дней </w:t>
      </w:r>
      <w:r w:rsidR="00777D18">
        <w:rPr>
          <w:rFonts w:ascii="Times New Roman" w:hAnsi="Times New Roman" w:cs="Times New Roman"/>
          <w:color w:val="000000"/>
          <w:sz w:val="24"/>
          <w:szCs w:val="24"/>
        </w:rPr>
        <w:t xml:space="preserve">с момента подписания настоящего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D40AE">
        <w:rPr>
          <w:rFonts w:ascii="Times New Roman" w:hAnsi="Times New Roman" w:cs="Times New Roman"/>
          <w:color w:val="000000"/>
          <w:sz w:val="24"/>
          <w:szCs w:val="24"/>
        </w:rPr>
        <w:t xml:space="preserve">редоставить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АСЦ </w:t>
      </w:r>
      <w:r w:rsidRPr="00AD0D29">
        <w:rPr>
          <w:rFonts w:ascii="Times New Roman" w:hAnsi="Times New Roman" w:cs="Times New Roman"/>
          <w:color w:val="000000"/>
          <w:sz w:val="24"/>
          <w:szCs w:val="24"/>
        </w:rPr>
        <w:t>техническую документацию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оказания услуг по перезарядке и утилизации Оборудования</w:t>
      </w:r>
      <w:r w:rsidRPr="00ED40AE">
        <w:rPr>
          <w:rFonts w:ascii="Times New Roman" w:hAnsi="Times New Roman" w:cs="Times New Roman"/>
          <w:color w:val="000000"/>
          <w:sz w:val="24"/>
          <w:szCs w:val="24"/>
        </w:rPr>
        <w:t xml:space="preserve">. Документация предоставляется в электронном виде </w:t>
      </w:r>
      <w:r>
        <w:rPr>
          <w:rFonts w:ascii="Times New Roman" w:hAnsi="Times New Roman" w:cs="Times New Roman"/>
          <w:color w:val="000000"/>
          <w:sz w:val="24"/>
          <w:szCs w:val="24"/>
        </w:rPr>
        <w:t>с использованием адресов эл</w:t>
      </w:r>
      <w:r w:rsidRPr="00AD0D29">
        <w:rPr>
          <w:rFonts w:ascii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hAnsi="Times New Roman" w:cs="Times New Roman"/>
          <w:color w:val="000000"/>
          <w:sz w:val="24"/>
          <w:szCs w:val="24"/>
        </w:rPr>
        <w:t>ронной почты, указан</w:t>
      </w:r>
      <w:r w:rsidR="00170267">
        <w:rPr>
          <w:rFonts w:ascii="Times New Roman" w:hAnsi="Times New Roman" w:cs="Times New Roman"/>
          <w:color w:val="000000"/>
          <w:sz w:val="24"/>
          <w:szCs w:val="24"/>
        </w:rPr>
        <w:t>ных в пункте 2.1.1. настоящего Д</w:t>
      </w:r>
      <w:r>
        <w:rPr>
          <w:rFonts w:ascii="Times New Roman" w:hAnsi="Times New Roman" w:cs="Times New Roman"/>
          <w:color w:val="000000"/>
          <w:sz w:val="24"/>
          <w:szCs w:val="24"/>
        </w:rPr>
        <w:t>оговора.</w:t>
      </w:r>
    </w:p>
    <w:p w:rsidR="00A8171B" w:rsidRPr="00AD0D29" w:rsidRDefault="002D34A6" w:rsidP="00A8171B">
      <w:pPr>
        <w:pStyle w:val="a5"/>
        <w:numPr>
          <w:ilvl w:val="2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D29">
        <w:rPr>
          <w:rFonts w:ascii="Times New Roman" w:hAnsi="Times New Roman" w:cs="Times New Roman"/>
          <w:color w:val="000000"/>
          <w:sz w:val="24"/>
          <w:szCs w:val="24"/>
        </w:rPr>
        <w:t xml:space="preserve">На льготных условиях обеспечить АСЦ </w:t>
      </w:r>
      <w:r w:rsidR="000721B1" w:rsidRPr="00AD0D29">
        <w:rPr>
          <w:rFonts w:ascii="Times New Roman" w:hAnsi="Times New Roman" w:cs="Times New Roman"/>
          <w:color w:val="000000"/>
          <w:sz w:val="24"/>
          <w:szCs w:val="24"/>
        </w:rPr>
        <w:t xml:space="preserve">ремонтными комплектами </w:t>
      </w:r>
      <w:r w:rsidRPr="00AD0D29">
        <w:rPr>
          <w:rFonts w:ascii="Times New Roman" w:hAnsi="Times New Roman" w:cs="Times New Roman"/>
          <w:color w:val="000000"/>
          <w:sz w:val="24"/>
          <w:szCs w:val="24"/>
        </w:rPr>
        <w:t xml:space="preserve">для перезарядки Оборудования </w:t>
      </w:r>
      <w:r w:rsidR="00A8171B" w:rsidRPr="00AD0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ценам</w:t>
      </w:r>
      <w:r w:rsidR="00AD0D29" w:rsidRPr="00AD0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утвержденному прайс-листу</w:t>
      </w:r>
      <w:r w:rsidR="00A8171B" w:rsidRPr="00AD0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71B" w:rsidRPr="00A8171B" w:rsidRDefault="00A8171B" w:rsidP="00A8171B">
      <w:pPr>
        <w:pStyle w:val="a5"/>
        <w:numPr>
          <w:ilvl w:val="2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D29">
        <w:rPr>
          <w:rFonts w:ascii="Times New Roman" w:hAnsi="Times New Roman" w:cs="Times New Roman"/>
          <w:color w:val="000000"/>
          <w:sz w:val="24"/>
          <w:szCs w:val="24"/>
        </w:rPr>
        <w:t>Информировать АСЦ</w:t>
      </w:r>
      <w:r w:rsidR="0050508C" w:rsidRPr="00AD0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D29">
        <w:rPr>
          <w:rFonts w:ascii="Times New Roman" w:hAnsi="Times New Roman" w:cs="Times New Roman"/>
          <w:color w:val="000000"/>
          <w:sz w:val="24"/>
          <w:szCs w:val="24"/>
        </w:rPr>
        <w:t xml:space="preserve">об изменениях цен на </w:t>
      </w:r>
      <w:r w:rsidR="002478BD" w:rsidRPr="00AD0D29">
        <w:rPr>
          <w:rFonts w:ascii="Times New Roman" w:hAnsi="Times New Roman" w:cs="Times New Roman"/>
          <w:color w:val="000000"/>
          <w:sz w:val="24"/>
          <w:szCs w:val="24"/>
        </w:rPr>
        <w:t>ремонтные комплекты</w:t>
      </w:r>
      <w:r w:rsidRPr="00AD0D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78BD" w:rsidRPr="00AD0D29">
        <w:rPr>
          <w:rFonts w:ascii="Times New Roman" w:hAnsi="Times New Roman" w:cs="Times New Roman"/>
          <w:color w:val="000000"/>
          <w:sz w:val="24"/>
          <w:szCs w:val="24"/>
        </w:rPr>
        <w:t>Производитель</w:t>
      </w:r>
      <w:r w:rsidRPr="00AD0D2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уведомление об изменении цен не позднее, чем за 15 - 30 календарных дней до даты введения новых цен</w:t>
      </w:r>
      <w:r w:rsidRPr="00A817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34A6" w:rsidRPr="002D34A6" w:rsidRDefault="002D34A6" w:rsidP="002D34A6">
      <w:pPr>
        <w:pStyle w:val="a5"/>
        <w:numPr>
          <w:ilvl w:val="2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AE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информационную поддержку АСЦ путем публикации информации на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Производителя.</w:t>
      </w:r>
    </w:p>
    <w:p w:rsidR="002D34A6" w:rsidRPr="002D34A6" w:rsidRDefault="002D34A6" w:rsidP="002D34A6">
      <w:pPr>
        <w:pStyle w:val="a5"/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E0">
        <w:rPr>
          <w:rFonts w:ascii="Times New Roman" w:hAnsi="Times New Roman" w:cs="Times New Roman"/>
          <w:b/>
          <w:color w:val="000000"/>
          <w:sz w:val="24"/>
          <w:szCs w:val="24"/>
        </w:rPr>
        <w:t>Производитель вправе:</w:t>
      </w:r>
    </w:p>
    <w:p w:rsidR="002D34A6" w:rsidRPr="00170267" w:rsidRDefault="002D34A6" w:rsidP="00170267">
      <w:pPr>
        <w:pStyle w:val="a5"/>
        <w:numPr>
          <w:ilvl w:val="2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DE0">
        <w:rPr>
          <w:rFonts w:ascii="Times New Roman" w:hAnsi="Times New Roman" w:cs="Times New Roman"/>
          <w:color w:val="000000"/>
          <w:sz w:val="24"/>
          <w:szCs w:val="24"/>
        </w:rPr>
        <w:t xml:space="preserve">Проверять качество выполнения обязательств по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настоящему Д</w:t>
      </w:r>
      <w:r w:rsidRPr="00EB6DE0">
        <w:rPr>
          <w:rFonts w:ascii="Times New Roman" w:hAnsi="Times New Roman" w:cs="Times New Roman"/>
          <w:color w:val="000000"/>
          <w:sz w:val="24"/>
          <w:szCs w:val="24"/>
        </w:rPr>
        <w:t>оговору, проводить аудит сервисных услуг, оказываемых АСЦ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34A6" w:rsidRPr="00170267" w:rsidRDefault="002D34A6" w:rsidP="002D34A6">
      <w:pPr>
        <w:pStyle w:val="a5"/>
        <w:numPr>
          <w:ilvl w:val="2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DE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Отозвать и лишить статуса АСЦ в соответствии с разделом </w:t>
      </w:r>
      <w:r w:rsidR="00D05A65" w:rsidRPr="00D05A65">
        <w:rPr>
          <w:rFonts w:ascii="Times New Roman" w:hAnsi="Times New Roman" w:cs="Times New Roman"/>
          <w:sz w:val="24"/>
          <w:szCs w:val="24"/>
        </w:rPr>
        <w:t>5</w:t>
      </w:r>
      <w:r w:rsidR="00D05A65">
        <w:rPr>
          <w:rFonts w:ascii="Times New Roman" w:hAnsi="Times New Roman" w:cs="Times New Roman"/>
          <w:sz w:val="24"/>
          <w:szCs w:val="24"/>
        </w:rPr>
        <w:t xml:space="preserve"> «ОТЗЫВ</w:t>
      </w:r>
      <w:r w:rsidRPr="00D05A65">
        <w:rPr>
          <w:rFonts w:ascii="Times New Roman" w:hAnsi="Times New Roman" w:cs="Times New Roman"/>
          <w:sz w:val="24"/>
          <w:szCs w:val="24"/>
        </w:rPr>
        <w:t xml:space="preserve"> </w:t>
      </w:r>
      <w:r w:rsidR="00D05A65">
        <w:rPr>
          <w:rFonts w:ascii="Times New Roman" w:hAnsi="Times New Roman" w:cs="Times New Roman"/>
          <w:sz w:val="24"/>
          <w:szCs w:val="24"/>
        </w:rPr>
        <w:t xml:space="preserve">СТАТУСА </w:t>
      </w:r>
      <w:r w:rsidRPr="00D05A65">
        <w:rPr>
          <w:rFonts w:ascii="Times New Roman" w:hAnsi="Times New Roman" w:cs="Times New Roman"/>
          <w:sz w:val="24"/>
          <w:szCs w:val="24"/>
        </w:rPr>
        <w:t xml:space="preserve">АСЦ» </w:t>
      </w:r>
      <w:r w:rsidR="00D05A65">
        <w:rPr>
          <w:rFonts w:ascii="Times New Roman" w:hAnsi="Times New Roman" w:cs="Times New Roman"/>
          <w:sz w:val="24"/>
          <w:szCs w:val="24"/>
        </w:rPr>
        <w:t>настоящего Д</w:t>
      </w:r>
      <w:r w:rsidRPr="00D05A65">
        <w:rPr>
          <w:rFonts w:ascii="Times New Roman" w:hAnsi="Times New Roman" w:cs="Times New Roman"/>
          <w:sz w:val="24"/>
          <w:szCs w:val="24"/>
        </w:rPr>
        <w:t>оговора.</w:t>
      </w:r>
    </w:p>
    <w:p w:rsidR="00170267" w:rsidRDefault="00170267" w:rsidP="00170267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0267" w:rsidRPr="00170267" w:rsidRDefault="00170267" w:rsidP="00170267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5A2A" w:rsidRDefault="00EB6DE0" w:rsidP="00D2602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</w:t>
      </w:r>
      <w:r w:rsidR="0010236F" w:rsidRPr="00D26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СТОРОН</w:t>
      </w:r>
    </w:p>
    <w:p w:rsidR="00820127" w:rsidRPr="00D26023" w:rsidRDefault="00820127" w:rsidP="0082012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4A6" w:rsidRDefault="002D34A6" w:rsidP="002D34A6">
      <w:pPr>
        <w:pStyle w:val="a5"/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невыполнение или ненадлежащее исполнение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оих обязательств по настоящему Д</w:t>
      </w:r>
      <w:r w:rsidRPr="002D34A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 Стороны несут друг перед другом ответственность в том объеме, в котором она предусмотрена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йствующим законодательством РФ.</w:t>
      </w:r>
    </w:p>
    <w:p w:rsidR="002D34A6" w:rsidRDefault="002D34A6" w:rsidP="002D34A6">
      <w:pPr>
        <w:pStyle w:val="a5"/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34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рушения АСЦ условий настоящего Д</w:t>
      </w:r>
      <w:r w:rsidRPr="002D34A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 указанных в разделе 2 «</w:t>
      </w:r>
      <w:r w:rsidR="001702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</w:t>
      </w:r>
      <w:r w:rsidRPr="002D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АСЦ»,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наличия жалоб от Потребителей О</w:t>
      </w:r>
      <w:r w:rsidRPr="002D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борудования,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</w:t>
      </w:r>
      <w:r w:rsidRPr="002D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остановить действие настоящего Д</w:t>
      </w:r>
      <w:r w:rsidRPr="002D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до момента устранения АСЦ выявленных нарушений, а в случае, если такие нарушения носят систематический характер, отозвать у АСЦ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и расторгнуть настоящий Д</w:t>
      </w:r>
      <w:r w:rsidRPr="002D34A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в одностороннем порядке, уведомив об этом АСЦ</w:t>
      </w:r>
      <w:proofErr w:type="gramEnd"/>
      <w:r w:rsidRPr="002D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30 (тридцать) дней до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редполагаемой даты расторжения.</w:t>
      </w:r>
    </w:p>
    <w:p w:rsidR="002D34A6" w:rsidRDefault="002D34A6" w:rsidP="00922311">
      <w:pPr>
        <w:pStyle w:val="a5"/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</w:t>
      </w:r>
      <w:r w:rsidR="00922311">
        <w:rPr>
          <w:rFonts w:ascii="Times New Roman" w:eastAsia="Times New Roman" w:hAnsi="Times New Roman" w:cs="Times New Roman"/>
          <w:sz w:val="24"/>
          <w:szCs w:val="24"/>
          <w:lang w:eastAsia="ru-RU"/>
        </w:rPr>
        <w:t>ры и разногласия по настоящему Д</w:t>
      </w:r>
      <w:r w:rsidRPr="0092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 разрешаются Сторонами путем переговоров, в случае, если в течение 30 (тридцати) последовательных дней Сторонами не было достигнуто соглашения по спорным вопросам, Стороны вправе обратиться в Арбитражный суд по месту нахождения </w:t>
      </w:r>
      <w:r w:rsidR="00922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Производителя</w:t>
      </w:r>
      <w:r w:rsidRPr="0092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предусмотренном де</w:t>
      </w:r>
      <w:r w:rsidR="00922311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йствующим законодательством РФ.</w:t>
      </w:r>
    </w:p>
    <w:p w:rsidR="00922311" w:rsidRDefault="00922311" w:rsidP="00922311">
      <w:pPr>
        <w:pStyle w:val="a5"/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из Сторон настоящего Д</w:t>
      </w:r>
      <w:r w:rsidRPr="00922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и которые нельзя предвидеть или избежать, включая, но, не ограничиваясь, объявленную или фактическую войну, гражданские волнения, эпидемии, блокаду, землетрясения, наводнения, пожары и другие стихийные бедствия, а также принятие органом государственной власти нормативно-правового акта, вступившего в законную силу</w:t>
      </w:r>
      <w:proofErr w:type="gramEnd"/>
      <w:r w:rsidRPr="0092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такой акт оказывает существенное влияние на деятельность Сторон или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обязательства по настоящему Д</w:t>
      </w:r>
      <w:r w:rsidRPr="00922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оговору. Документ, выданный соответствующим компетентным органом, является достаточным подтверждением наличия и продолжительнос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действия непреодолимой силы.</w:t>
      </w:r>
    </w:p>
    <w:p w:rsidR="0010236F" w:rsidRPr="00922311" w:rsidRDefault="00922311" w:rsidP="00922311">
      <w:pPr>
        <w:pStyle w:val="a5"/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Сторона, которая не исполняет своего обязательства вследствие действия непреодолимой силы, должна известить другую Сторону о препятствии и его влиянии на исполнение обязательств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Д</w:t>
      </w:r>
      <w:r w:rsidRPr="0092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 в течение 5 (пяти) рабочих дней с момента наступления таких обстоятельств. В противном случае Сторона, не исполнившая обязательства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Pr="00922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Договору, не имеет права ссылаться на обстоятельства непреодоли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силы.</w:t>
      </w:r>
    </w:p>
    <w:p w:rsidR="00855A2A" w:rsidRPr="00C93022" w:rsidRDefault="00855A2A" w:rsidP="0085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A2A" w:rsidRDefault="00922311" w:rsidP="00D2602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СТАТУСА АСЦ</w:t>
      </w:r>
    </w:p>
    <w:p w:rsidR="00820127" w:rsidRPr="00D26023" w:rsidRDefault="00820127" w:rsidP="0082012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311" w:rsidRDefault="00922311" w:rsidP="00922311">
      <w:pPr>
        <w:pStyle w:val="a5"/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у АСЦ статуса АСЦ проводится в следующих случаях:</w:t>
      </w:r>
    </w:p>
    <w:p w:rsidR="00922311" w:rsidRDefault="00922311" w:rsidP="00D05A65">
      <w:pPr>
        <w:pStyle w:val="Default"/>
        <w:numPr>
          <w:ilvl w:val="2"/>
          <w:numId w:val="9"/>
        </w:numPr>
        <w:tabs>
          <w:tab w:val="left" w:pos="709"/>
        </w:tabs>
        <w:ind w:left="0" w:firstLine="0"/>
        <w:jc w:val="both"/>
      </w:pPr>
      <w:r w:rsidRPr="00D05A65">
        <w:t>Выявления нарушений или ненадлежащего исполнения АСЦ условий настоящего Договора, указанных в разделе 2 «</w:t>
      </w:r>
      <w:r w:rsidR="00731DA5">
        <w:t xml:space="preserve">ПРАВА И ОБЯЗАННОСТИ </w:t>
      </w:r>
      <w:r w:rsidRPr="00D05A65">
        <w:t>АСЦ» настоящего Договора</w:t>
      </w:r>
      <w:r w:rsidR="00D05A65">
        <w:t>.</w:t>
      </w:r>
    </w:p>
    <w:p w:rsidR="00D05A65" w:rsidRDefault="00D05A65" w:rsidP="00D05A65">
      <w:pPr>
        <w:pStyle w:val="Default"/>
        <w:numPr>
          <w:ilvl w:val="2"/>
          <w:numId w:val="9"/>
        </w:numPr>
        <w:tabs>
          <w:tab w:val="left" w:pos="709"/>
        </w:tabs>
        <w:ind w:left="0" w:firstLine="0"/>
        <w:jc w:val="both"/>
      </w:pPr>
      <w:r w:rsidRPr="00D05A65">
        <w:t xml:space="preserve">В связи с окончанием срока действия </w:t>
      </w:r>
      <w:r>
        <w:t>Лицензии</w:t>
      </w:r>
      <w:r w:rsidRPr="00DE274C">
        <w:t xml:space="preserve"> Государственной противопожарной службы на проведение работ данного вида</w:t>
      </w:r>
      <w:r>
        <w:t>.</w:t>
      </w:r>
    </w:p>
    <w:p w:rsidR="00D05A65" w:rsidRDefault="00D05A65" w:rsidP="00D05A65">
      <w:pPr>
        <w:pStyle w:val="Default"/>
        <w:numPr>
          <w:ilvl w:val="2"/>
          <w:numId w:val="9"/>
        </w:numPr>
        <w:tabs>
          <w:tab w:val="left" w:pos="709"/>
        </w:tabs>
        <w:ind w:left="0" w:firstLine="0"/>
        <w:jc w:val="both"/>
      </w:pPr>
      <w:r w:rsidRPr="00D05A65">
        <w:t>При отрицательных результатах проверки деятельности АСЦ</w:t>
      </w:r>
      <w:r>
        <w:t>.</w:t>
      </w:r>
    </w:p>
    <w:p w:rsidR="00D05A65" w:rsidRDefault="00D05A65" w:rsidP="00D05A65">
      <w:pPr>
        <w:pStyle w:val="Default"/>
        <w:numPr>
          <w:ilvl w:val="2"/>
          <w:numId w:val="9"/>
        </w:numPr>
        <w:tabs>
          <w:tab w:val="left" w:pos="709"/>
        </w:tabs>
        <w:ind w:left="0" w:firstLine="0"/>
        <w:jc w:val="both"/>
      </w:pPr>
      <w:r w:rsidRPr="00D05A65">
        <w:t xml:space="preserve">Нарушения п. 2.1.4. настоящего Договора и выявлении случаев, которые могут повредить </w:t>
      </w:r>
      <w:proofErr w:type="gramStart"/>
      <w:r w:rsidRPr="00D05A65">
        <w:t>репутации</w:t>
      </w:r>
      <w:proofErr w:type="gramEnd"/>
      <w:r w:rsidRPr="00D05A65">
        <w:t xml:space="preserve"> как самого </w:t>
      </w:r>
      <w:r>
        <w:t>О</w:t>
      </w:r>
      <w:r w:rsidRPr="00D05A65">
        <w:t>борудования, так и его изготовителя в глазах покупателей</w:t>
      </w:r>
      <w:r>
        <w:t>.</w:t>
      </w:r>
    </w:p>
    <w:p w:rsidR="00922311" w:rsidRPr="00D05A65" w:rsidRDefault="00D05A65" w:rsidP="00D05A65">
      <w:pPr>
        <w:pStyle w:val="Default"/>
        <w:numPr>
          <w:ilvl w:val="2"/>
          <w:numId w:val="9"/>
        </w:numPr>
        <w:tabs>
          <w:tab w:val="left" w:pos="709"/>
        </w:tabs>
        <w:ind w:left="0" w:firstLine="0"/>
        <w:jc w:val="both"/>
      </w:pPr>
      <w:r w:rsidRPr="00D05A65">
        <w:t>В иных случаях, предусмотренных настоящим Договором и/или действующим законодательством РФ</w:t>
      </w:r>
      <w:r>
        <w:t>.</w:t>
      </w:r>
    </w:p>
    <w:p w:rsidR="00D05A65" w:rsidRPr="00D05A65" w:rsidRDefault="00D05A65" w:rsidP="00D05A65">
      <w:pPr>
        <w:pStyle w:val="a5"/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ненадлежащего исполнения АСЦ 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обязанностей </w:t>
      </w:r>
      <w:r w:rsidR="009A1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</w:t>
      </w:r>
      <w:r w:rsidRPr="00D0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результатом которого послужил отказ </w:t>
      </w:r>
      <w:r w:rsidR="009A1A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перезарядки или утилизации</w:t>
      </w:r>
      <w:r w:rsidRPr="00D0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причине недостаточности квалификации </w:t>
      </w:r>
      <w:r w:rsidR="009A1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</w:t>
      </w:r>
      <w:r w:rsidRPr="00D0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отсутствия необходимого оборудования, </w:t>
      </w:r>
      <w:r w:rsidR="009A1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комплектующих</w:t>
      </w:r>
      <w:r w:rsidRPr="00D0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какой-либо иной причине, </w:t>
      </w:r>
      <w:r w:rsidR="009A1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 вправе расторгнуть настоящий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в одностороннем порядке.</w:t>
      </w:r>
    </w:p>
    <w:p w:rsidR="00141545" w:rsidRPr="009A1ACC" w:rsidRDefault="009A1ACC" w:rsidP="009A1ACC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Отзыв у АСЦ его статуса оформляетс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путем расторжения настоящего Д</w:t>
      </w:r>
      <w:r w:rsidRPr="009A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оговора. Расторжение договора производится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Производителем</w:t>
      </w:r>
      <w:r w:rsidRPr="009A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одностороннем порядке путем направления АСЦ соответствующего письменного уведомления не менее чем за 30 (тридцать) дней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планируемой даты расторжения.</w:t>
      </w:r>
    </w:p>
    <w:p w:rsidR="00141545" w:rsidRPr="00C93022" w:rsidRDefault="00141545" w:rsidP="00141545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A2A" w:rsidRDefault="009A1ACC" w:rsidP="00D2602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КОНФИДЕНЦИАЛЬНОСТЬ</w:t>
      </w:r>
    </w:p>
    <w:p w:rsidR="00820127" w:rsidRPr="00D26023" w:rsidRDefault="00820127" w:rsidP="0082012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ACC" w:rsidRDefault="009A1ACC" w:rsidP="009A1ACC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участников по настоящему Договору будет сохранять строгую конфиденциальность получения от другой стороны технологической, финансовой, коммерческой и другой информации и примет все возможные меры, чтобы предохранить полученную информацию от разглашения.</w:t>
      </w:r>
    </w:p>
    <w:p w:rsidR="009A1ACC" w:rsidRDefault="009A1ACC" w:rsidP="009A1ACC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информации третьим лицам, опубликование или иное разглашение такой информации, в том числе в течение трех лет после прекращения настоящего Договора, может осуществляться только с согласия другого участника, независимо от причин прекращения настоящего Договора.</w:t>
      </w:r>
    </w:p>
    <w:p w:rsidR="009A1ACC" w:rsidRDefault="009A1ACC" w:rsidP="009A1ACC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положений, указанных в пунктах</w:t>
      </w:r>
      <w:r w:rsidRPr="009A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A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A1AC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настоящего Договора, виновная Сторона возмещает другой Стороне, понесенные последней убытки.</w:t>
      </w:r>
    </w:p>
    <w:p w:rsidR="0010236F" w:rsidRPr="00A74DC4" w:rsidRDefault="00A74DC4" w:rsidP="00A74DC4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C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зделе</w:t>
      </w:r>
      <w:r w:rsidRPr="00A7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не применяются, если передача конфиденциальной информации осуществлена в силу прямого указания Закона.</w:t>
      </w:r>
    </w:p>
    <w:p w:rsidR="00855A2A" w:rsidRPr="00C93022" w:rsidRDefault="00855A2A" w:rsidP="0085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1BA" w:rsidRDefault="00EE41BA" w:rsidP="00CC3FCF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41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СРОК ДЕЙСТВИЯ </w:t>
      </w:r>
      <w:r w:rsidR="00A74D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ПОРЯДОК РАСТОРЖЕНИЯ </w:t>
      </w:r>
      <w:r w:rsidR="00820127">
        <w:rPr>
          <w:rFonts w:ascii="Times New Roman" w:hAnsi="Times New Roman" w:cs="Times New Roman"/>
          <w:b/>
          <w:color w:val="000000"/>
          <w:sz w:val="24"/>
          <w:szCs w:val="24"/>
        </w:rPr>
        <w:t>ДОГОВОРА</w:t>
      </w:r>
    </w:p>
    <w:p w:rsidR="00820127" w:rsidRPr="00EE41BA" w:rsidRDefault="00820127" w:rsidP="00820127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4DC4" w:rsidRDefault="00A74DC4" w:rsidP="00A74DC4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вступает в силу с момента </w:t>
      </w:r>
      <w:r w:rsidRPr="00A7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обеими Сторонами и действует до «31» декабря 2020 </w:t>
      </w:r>
      <w:r w:rsidRPr="00A74DC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  <w:r w:rsidRPr="00A7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автоматически продлевается на </w:t>
      </w:r>
      <w:r w:rsidR="0073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календарный год, если ни одна из Сторон по настоящему Договору не уведомит другую Сторону не </w:t>
      </w:r>
      <w:proofErr w:type="gramStart"/>
      <w:r w:rsidR="00731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73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(тридцать) календарных о своем намерении не продлевать срок действия настоящего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пролонгаций неограниченно.</w:t>
      </w:r>
    </w:p>
    <w:p w:rsidR="00A74DC4" w:rsidRDefault="00A74DC4" w:rsidP="00A74DC4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из С</w:t>
      </w:r>
      <w:r w:rsidRPr="00A7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 вправе досрочно отказаться от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</w:t>
      </w:r>
      <w:r w:rsidRPr="00A7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при условии соблюдения следующего порядка. Сторона, желающая досрочно прекратить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</w:t>
      </w:r>
      <w:r w:rsidRPr="00A7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оговор, письменно уведомляет об этом другую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торону не позднее 30 (тридцати) дней до дня будущего прекращения. По истечении трёх дней после вручения названного уведомления соответствующей стороне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АСЦ</w:t>
      </w:r>
      <w:r w:rsidRPr="00A7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заявки на оказание услуг</w:t>
      </w:r>
      <w:r w:rsidRPr="00A7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04E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</w:t>
      </w:r>
      <w:r w:rsidRPr="00A7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E1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настоящего Д</w:t>
      </w:r>
      <w:r w:rsidRPr="00A7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а ранее принятые в соответствии с договором </w:t>
      </w:r>
      <w:r w:rsidR="00204E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A7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</w:t>
      </w:r>
      <w:r w:rsidR="00204E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</w:t>
      </w:r>
      <w:r w:rsidRPr="00A7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сроки, но в любом случае не позднее срока прекращения </w:t>
      </w:r>
      <w:r w:rsidR="00204E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</w:t>
      </w:r>
      <w:r w:rsidRPr="00A7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оговора. Все прочие обязательства </w:t>
      </w:r>
      <w:r w:rsidR="00204E1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4D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торон, во</w:t>
      </w:r>
      <w:r w:rsidR="00204E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зникшие до момента прекращения настоящего Д</w:t>
      </w:r>
      <w:r w:rsidRPr="00A74DC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в соответствии с настоящим пунктом, продолжают дейст</w:t>
      </w:r>
      <w:r w:rsidR="00204E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вовать вплоть до их исполнения.</w:t>
      </w:r>
    </w:p>
    <w:p w:rsidR="00EE41BA" w:rsidRPr="00204E1B" w:rsidRDefault="00204E1B" w:rsidP="00204E1B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proofErr w:type="gramStart"/>
      <w:r w:rsidRPr="00204E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204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любое время по взаимному согласию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сторон.</w:t>
      </w:r>
    </w:p>
    <w:p w:rsidR="00EE41BA" w:rsidRPr="00EE41BA" w:rsidRDefault="00EE41BA" w:rsidP="00EE41BA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E41BA" w:rsidRDefault="000C2F55" w:rsidP="004459CE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ПРОЧИЕ УСЛОВИЯ</w:t>
      </w:r>
    </w:p>
    <w:p w:rsidR="00820127" w:rsidRPr="00820127" w:rsidRDefault="00820127" w:rsidP="0082012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41BA" w:rsidRPr="000C2F55" w:rsidRDefault="000C2F55" w:rsidP="00CC3FCF">
      <w:pPr>
        <w:pStyle w:val="a5"/>
        <w:numPr>
          <w:ilvl w:val="1"/>
          <w:numId w:val="9"/>
        </w:numPr>
        <w:tabs>
          <w:tab w:val="left" w:pos="567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0C2F55">
        <w:rPr>
          <w:rFonts w:ascii="Times New Roman" w:hAnsi="Times New Roman" w:cs="Times New Roman"/>
          <w:sz w:val="24"/>
          <w:szCs w:val="24"/>
        </w:rPr>
        <w:t>Договор составлен в 2-х экземплярах, оба имеют одинаковую юридическую силу.</w:t>
      </w:r>
    </w:p>
    <w:p w:rsidR="000C2F55" w:rsidRPr="00731EE3" w:rsidRDefault="000C2F55" w:rsidP="00731EE3">
      <w:pPr>
        <w:pStyle w:val="a5"/>
        <w:numPr>
          <w:ilvl w:val="1"/>
          <w:numId w:val="9"/>
        </w:numPr>
        <w:tabs>
          <w:tab w:val="left" w:pos="567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F55">
        <w:rPr>
          <w:rFonts w:ascii="Times New Roman" w:hAnsi="Times New Roman" w:cs="Times New Roman"/>
          <w:sz w:val="24"/>
          <w:szCs w:val="24"/>
        </w:rPr>
        <w:t>Любые изменения и/или дополнения к настоящему Договору должны быть выполнены в письменной форме и подписаны обеими Сторонами, при этом под письменной формой Стороны понимают, в том числе и информацию, полученную посредством факсимильной/электронной связи, позволяющей достоверно устан</w:t>
      </w:r>
      <w:r w:rsidR="00731EE3">
        <w:rPr>
          <w:rFonts w:ascii="Times New Roman" w:hAnsi="Times New Roman" w:cs="Times New Roman"/>
          <w:sz w:val="24"/>
          <w:szCs w:val="24"/>
        </w:rPr>
        <w:t>овить, что документ исходит от С</w:t>
      </w:r>
      <w:r w:rsidRPr="000C2F55">
        <w:rPr>
          <w:rFonts w:ascii="Times New Roman" w:hAnsi="Times New Roman" w:cs="Times New Roman"/>
          <w:sz w:val="24"/>
          <w:szCs w:val="24"/>
        </w:rPr>
        <w:t xml:space="preserve">тороны по </w:t>
      </w:r>
      <w:r w:rsidR="00731EE3">
        <w:rPr>
          <w:rFonts w:ascii="Times New Roman" w:hAnsi="Times New Roman" w:cs="Times New Roman"/>
          <w:sz w:val="24"/>
          <w:szCs w:val="24"/>
        </w:rPr>
        <w:t>настоящему Д</w:t>
      </w:r>
      <w:r w:rsidRPr="000C2F55">
        <w:rPr>
          <w:rFonts w:ascii="Times New Roman" w:hAnsi="Times New Roman" w:cs="Times New Roman"/>
          <w:sz w:val="24"/>
          <w:szCs w:val="24"/>
        </w:rPr>
        <w:t xml:space="preserve">оговору (п. </w:t>
      </w:r>
      <w:r>
        <w:rPr>
          <w:rFonts w:ascii="Times New Roman" w:hAnsi="Times New Roman" w:cs="Times New Roman"/>
          <w:sz w:val="24"/>
          <w:szCs w:val="24"/>
        </w:rPr>
        <w:t>2.1.1.</w:t>
      </w:r>
      <w:r w:rsidRPr="000C2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0C2F55">
        <w:rPr>
          <w:rFonts w:ascii="Times New Roman" w:hAnsi="Times New Roman" w:cs="Times New Roman"/>
          <w:sz w:val="24"/>
          <w:szCs w:val="24"/>
        </w:rPr>
        <w:t>Договора) [п. 1. ст. 434.</w:t>
      </w:r>
      <w:proofErr w:type="gramEnd"/>
      <w:r w:rsidRPr="000C2F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2F55">
        <w:rPr>
          <w:rFonts w:ascii="Times New Roman" w:hAnsi="Times New Roman" w:cs="Times New Roman"/>
          <w:sz w:val="24"/>
          <w:szCs w:val="24"/>
        </w:rPr>
        <w:t>ГК РФ].</w:t>
      </w:r>
      <w:proofErr w:type="gramEnd"/>
    </w:p>
    <w:p w:rsidR="000C2F55" w:rsidRDefault="00731EE3" w:rsidP="000C2F55">
      <w:pPr>
        <w:pStyle w:val="a5"/>
        <w:numPr>
          <w:ilvl w:val="1"/>
          <w:numId w:val="9"/>
        </w:numPr>
        <w:tabs>
          <w:tab w:val="left" w:pos="567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из С</w:t>
      </w:r>
      <w:r w:rsidRPr="00E06126">
        <w:rPr>
          <w:rFonts w:ascii="Times New Roman" w:hAnsi="Times New Roman" w:cs="Times New Roman"/>
          <w:sz w:val="24"/>
          <w:szCs w:val="24"/>
        </w:rPr>
        <w:t xml:space="preserve">торон </w:t>
      </w:r>
      <w:r>
        <w:rPr>
          <w:rFonts w:ascii="Times New Roman" w:hAnsi="Times New Roman" w:cs="Times New Roman"/>
          <w:sz w:val="24"/>
          <w:szCs w:val="24"/>
        </w:rPr>
        <w:t>несет риск не извещения второй С</w:t>
      </w:r>
      <w:r w:rsidRPr="00E06126">
        <w:rPr>
          <w:rFonts w:ascii="Times New Roman" w:hAnsi="Times New Roman" w:cs="Times New Roman"/>
          <w:sz w:val="24"/>
          <w:szCs w:val="24"/>
        </w:rPr>
        <w:t>тороны об изменении своего адреса электро</w:t>
      </w:r>
      <w:r>
        <w:rPr>
          <w:rFonts w:ascii="Times New Roman" w:hAnsi="Times New Roman" w:cs="Times New Roman"/>
          <w:sz w:val="24"/>
          <w:szCs w:val="24"/>
        </w:rPr>
        <w:t>нной почты. В случае уклонения С</w:t>
      </w:r>
      <w:r w:rsidRPr="00E06126">
        <w:rPr>
          <w:rFonts w:ascii="Times New Roman" w:hAnsi="Times New Roman" w:cs="Times New Roman"/>
          <w:sz w:val="24"/>
          <w:szCs w:val="24"/>
        </w:rPr>
        <w:t>тороны от получения уве</w:t>
      </w:r>
      <w:r>
        <w:rPr>
          <w:rFonts w:ascii="Times New Roman" w:hAnsi="Times New Roman" w:cs="Times New Roman"/>
          <w:sz w:val="24"/>
          <w:szCs w:val="24"/>
        </w:rPr>
        <w:t>домления, направленного второй С</w:t>
      </w:r>
      <w:r w:rsidRPr="00E06126">
        <w:rPr>
          <w:rFonts w:ascii="Times New Roman" w:hAnsi="Times New Roman" w:cs="Times New Roman"/>
          <w:sz w:val="24"/>
          <w:szCs w:val="24"/>
        </w:rPr>
        <w:t xml:space="preserve">тороной, уведомление считается полученным по истечении </w:t>
      </w:r>
      <w:r>
        <w:rPr>
          <w:rFonts w:ascii="Times New Roman" w:hAnsi="Times New Roman" w:cs="Times New Roman"/>
          <w:sz w:val="24"/>
          <w:szCs w:val="24"/>
        </w:rPr>
        <w:t>2 (двух)</w:t>
      </w:r>
      <w:r w:rsidRPr="00E06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E06126">
        <w:rPr>
          <w:rFonts w:ascii="Times New Roman" w:hAnsi="Times New Roman" w:cs="Times New Roman"/>
          <w:sz w:val="24"/>
          <w:szCs w:val="24"/>
        </w:rPr>
        <w:t xml:space="preserve"> дней с момента его направления.</w:t>
      </w:r>
    </w:p>
    <w:p w:rsidR="000C2F55" w:rsidRPr="000C2F55" w:rsidRDefault="00731EE3" w:rsidP="000C2F55">
      <w:pPr>
        <w:pStyle w:val="a5"/>
        <w:numPr>
          <w:ilvl w:val="1"/>
          <w:numId w:val="9"/>
        </w:numPr>
        <w:tabs>
          <w:tab w:val="left" w:pos="567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F55">
        <w:rPr>
          <w:rFonts w:ascii="Times New Roman" w:hAnsi="Times New Roman" w:cs="Times New Roman"/>
          <w:sz w:val="24"/>
          <w:szCs w:val="24"/>
        </w:rPr>
        <w:lastRenderedPageBreak/>
        <w:t>Приложения, дополнительные соглашения, измен</w:t>
      </w:r>
      <w:r>
        <w:rPr>
          <w:rFonts w:ascii="Times New Roman" w:hAnsi="Times New Roman" w:cs="Times New Roman"/>
          <w:sz w:val="24"/>
          <w:szCs w:val="24"/>
        </w:rPr>
        <w:t>ения и дополнения к настоящему Д</w:t>
      </w:r>
      <w:r w:rsidRPr="000C2F55">
        <w:rPr>
          <w:rFonts w:ascii="Times New Roman" w:hAnsi="Times New Roman" w:cs="Times New Roman"/>
          <w:sz w:val="24"/>
          <w:szCs w:val="24"/>
        </w:rPr>
        <w:t>оговору являются его неотъемлемыми частями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236F" w:rsidRPr="00731EE3" w:rsidRDefault="00731DA5" w:rsidP="00731EE3">
      <w:pPr>
        <w:pStyle w:val="a5"/>
        <w:numPr>
          <w:ilvl w:val="1"/>
          <w:numId w:val="9"/>
        </w:numPr>
        <w:tabs>
          <w:tab w:val="left" w:pos="567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</w:t>
      </w:r>
      <w:r w:rsidR="00731EE3" w:rsidRPr="00731EE3">
        <w:rPr>
          <w:rFonts w:ascii="Times New Roman" w:hAnsi="Times New Roman" w:cs="Times New Roman"/>
          <w:sz w:val="24"/>
          <w:szCs w:val="24"/>
        </w:rPr>
        <w:t xml:space="preserve"> отношениях как предусмотренных так и не предусмотренных настоящим Договором применимым правом является материальное и процессуальное права Российской Федерации.</w:t>
      </w:r>
    </w:p>
    <w:p w:rsidR="00DC7488" w:rsidRPr="00C93022" w:rsidRDefault="00DC7488" w:rsidP="00F3363E">
      <w:pPr>
        <w:pStyle w:val="a3"/>
        <w:jc w:val="center"/>
      </w:pPr>
    </w:p>
    <w:p w:rsidR="00C0293B" w:rsidRPr="00C93022" w:rsidRDefault="00C0293B" w:rsidP="00CC3FCF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</w:rPr>
      </w:pPr>
      <w:r w:rsidRPr="00C93022">
        <w:rPr>
          <w:b/>
        </w:rPr>
        <w:t xml:space="preserve">РЕКВИЗИТЫ </w:t>
      </w:r>
      <w:r w:rsidR="00731EE3">
        <w:rPr>
          <w:b/>
        </w:rPr>
        <w:t xml:space="preserve">И ПОДПИСИ </w:t>
      </w:r>
      <w:r w:rsidRPr="00C93022">
        <w:rPr>
          <w:b/>
        </w:rPr>
        <w:t>СТОРОН:</w:t>
      </w:r>
    </w:p>
    <w:p w:rsidR="00F3363E" w:rsidRPr="00C93022" w:rsidRDefault="00F3363E" w:rsidP="00F3363E">
      <w:pPr>
        <w:pStyle w:val="a3"/>
        <w:jc w:val="center"/>
        <w:rPr>
          <w:b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731EE3" w:rsidRPr="00177C4F" w:rsidTr="00731EE3">
        <w:tc>
          <w:tcPr>
            <w:tcW w:w="4962" w:type="dxa"/>
            <w:shd w:val="clear" w:color="auto" w:fill="auto"/>
          </w:tcPr>
          <w:p w:rsidR="00731EE3" w:rsidRPr="00731EE3" w:rsidRDefault="00F2166B" w:rsidP="00F2166B">
            <w:pPr>
              <w:spacing w:after="0"/>
              <w:ind w:left="-108" w:right="-10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Производитель</w:t>
            </w:r>
            <w:r w:rsidR="00731EE3" w:rsidRPr="00731EE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: ООО «</w:t>
            </w: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ГК ЭТЕРНИС</w:t>
            </w:r>
            <w:r w:rsidR="00731EE3" w:rsidRPr="00731EE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»</w:t>
            </w:r>
          </w:p>
          <w:p w:rsidR="00F2166B" w:rsidRDefault="00F2166B" w:rsidP="00F2166B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731EE3" w:rsidRPr="00731E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2166B">
              <w:rPr>
                <w:rFonts w:ascii="Times New Roman" w:hAnsi="Times New Roman" w:cs="Times New Roman"/>
                <w:sz w:val="24"/>
                <w:szCs w:val="24"/>
              </w:rPr>
              <w:t xml:space="preserve">Москва, 3-я Парковая ул., д. 48, </w:t>
            </w:r>
            <w:proofErr w:type="spellStart"/>
            <w:r w:rsidRPr="00F2166B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F2166B">
              <w:rPr>
                <w:rFonts w:ascii="Times New Roman" w:hAnsi="Times New Roman" w:cs="Times New Roman"/>
                <w:sz w:val="24"/>
                <w:szCs w:val="24"/>
              </w:rPr>
              <w:t>. 2, пом. V, ком. 9</w:t>
            </w:r>
          </w:p>
          <w:p w:rsidR="00F2166B" w:rsidRPr="00F2166B" w:rsidRDefault="00F2166B" w:rsidP="00F2166B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B">
              <w:rPr>
                <w:rFonts w:ascii="Times New Roman" w:hAnsi="Times New Roman" w:cs="Times New Roman"/>
                <w:sz w:val="24"/>
                <w:szCs w:val="24"/>
              </w:rPr>
              <w:t>ИНН/КПП 7719476850/771901001</w:t>
            </w:r>
          </w:p>
          <w:p w:rsidR="00F2166B" w:rsidRPr="00F2166B" w:rsidRDefault="00F2166B" w:rsidP="00F2166B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B">
              <w:rPr>
                <w:rFonts w:ascii="Times New Roman" w:hAnsi="Times New Roman" w:cs="Times New Roman"/>
                <w:sz w:val="24"/>
                <w:szCs w:val="24"/>
              </w:rPr>
              <w:t>ОГРН 1187746293261</w:t>
            </w:r>
          </w:p>
          <w:p w:rsidR="00F2166B" w:rsidRPr="00F2166B" w:rsidRDefault="00F2166B" w:rsidP="00F2166B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6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2166B">
              <w:rPr>
                <w:rFonts w:ascii="Times New Roman" w:hAnsi="Times New Roman" w:cs="Times New Roman"/>
                <w:sz w:val="24"/>
                <w:szCs w:val="24"/>
              </w:rPr>
              <w:t xml:space="preserve">/с 40702810738000180833 </w:t>
            </w:r>
          </w:p>
          <w:p w:rsidR="00F2166B" w:rsidRPr="00F2166B" w:rsidRDefault="00F2166B" w:rsidP="00F2166B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B">
              <w:rPr>
                <w:rFonts w:ascii="Times New Roman" w:hAnsi="Times New Roman" w:cs="Times New Roman"/>
                <w:sz w:val="24"/>
                <w:szCs w:val="24"/>
              </w:rPr>
              <w:t>к/с 30101810400000000225</w:t>
            </w:r>
          </w:p>
          <w:p w:rsidR="00F2166B" w:rsidRPr="00F2166B" w:rsidRDefault="00820127" w:rsidP="00F2166B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r w:rsidR="00F2166B" w:rsidRPr="00F2166B">
              <w:rPr>
                <w:rFonts w:ascii="Times New Roman" w:hAnsi="Times New Roman" w:cs="Times New Roman"/>
                <w:sz w:val="24"/>
                <w:szCs w:val="24"/>
              </w:rPr>
              <w:t>ПАО СБЕРБАНК г. Москва</w:t>
            </w:r>
          </w:p>
          <w:p w:rsidR="00731EE3" w:rsidRDefault="00F2166B" w:rsidP="00F2166B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B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  <w:p w:rsidR="00F2166B" w:rsidRPr="00F2166B" w:rsidRDefault="00F2166B" w:rsidP="00F2166B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B">
              <w:rPr>
                <w:rFonts w:ascii="Times New Roman" w:hAnsi="Times New Roman" w:cs="Times New Roman"/>
                <w:sz w:val="24"/>
                <w:szCs w:val="24"/>
              </w:rPr>
              <w:t>Тел. +7 (495)225-95-85</w:t>
            </w:r>
          </w:p>
          <w:p w:rsidR="00731EE3" w:rsidRPr="00731EE3" w:rsidRDefault="00731EE3" w:rsidP="00F2166B">
            <w:pPr>
              <w:spacing w:after="0"/>
              <w:ind w:left="-108" w:right="-108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  <w:p w:rsidR="00731EE3" w:rsidRPr="00731EE3" w:rsidRDefault="00731EE3" w:rsidP="00F2166B">
            <w:pPr>
              <w:spacing w:after="0"/>
              <w:ind w:left="-108" w:right="-108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1EE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Генеральный директор </w:t>
            </w:r>
          </w:p>
          <w:p w:rsidR="00731EE3" w:rsidRPr="00731EE3" w:rsidRDefault="00731EE3" w:rsidP="00F2166B">
            <w:pPr>
              <w:spacing w:after="0"/>
              <w:ind w:left="-108" w:right="-108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  <w:p w:rsidR="00731EE3" w:rsidRPr="00731EE3" w:rsidRDefault="00731EE3" w:rsidP="00F2166B">
            <w:pPr>
              <w:spacing w:after="0"/>
              <w:ind w:left="-108" w:right="-108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  <w:p w:rsidR="00731EE3" w:rsidRPr="00731EE3" w:rsidRDefault="00820127" w:rsidP="00F2166B">
            <w:pPr>
              <w:spacing w:after="0"/>
              <w:ind w:left="-108" w:right="-108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_________________ Воробьев С.И,</w:t>
            </w:r>
          </w:p>
          <w:p w:rsidR="00731EE3" w:rsidRPr="00731EE3" w:rsidRDefault="00731EE3" w:rsidP="00F2166B">
            <w:pPr>
              <w:spacing w:after="0"/>
              <w:ind w:left="-108" w:right="-108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1EE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731EE3" w:rsidRPr="00731EE3" w:rsidRDefault="00F2166B" w:rsidP="00731EE3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АСЦ</w:t>
            </w:r>
            <w:r w:rsidR="00731EE3" w:rsidRPr="00731E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31EE3" w:rsidRPr="00F216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</w:t>
            </w:r>
          </w:p>
          <w:p w:rsidR="00731EE3" w:rsidRPr="00731EE3" w:rsidRDefault="00F2166B" w:rsidP="00731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F216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</w:t>
            </w:r>
          </w:p>
          <w:p w:rsidR="00731EE3" w:rsidRPr="00731EE3" w:rsidRDefault="00731EE3" w:rsidP="00731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EE3" w:rsidRPr="00731EE3" w:rsidRDefault="00F2166B" w:rsidP="00731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B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  <w:r w:rsidR="00731EE3" w:rsidRPr="00731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1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</w:t>
            </w:r>
          </w:p>
          <w:p w:rsidR="00731EE3" w:rsidRPr="00731EE3" w:rsidRDefault="00731EE3" w:rsidP="00731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3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8201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</w:t>
            </w:r>
          </w:p>
          <w:p w:rsidR="00731EE3" w:rsidRDefault="00731EE3" w:rsidP="00731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E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1EE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8201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</w:t>
            </w:r>
            <w:r w:rsidR="00820127" w:rsidRPr="008201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</w:t>
            </w:r>
          </w:p>
          <w:p w:rsidR="00820127" w:rsidRPr="00731EE3" w:rsidRDefault="00820127" w:rsidP="00731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Pr="008201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</w:t>
            </w:r>
          </w:p>
          <w:p w:rsidR="00731EE3" w:rsidRPr="00731EE3" w:rsidRDefault="00820127" w:rsidP="00731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  <w:r w:rsidR="00731EE3" w:rsidRPr="00731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EE3" w:rsidRPr="008201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Pr="008201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</w:t>
            </w:r>
          </w:p>
          <w:p w:rsidR="00731EE3" w:rsidRPr="00731EE3" w:rsidRDefault="00731EE3" w:rsidP="00731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3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8201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</w:t>
            </w:r>
            <w:r w:rsidR="00820127" w:rsidRPr="008201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</w:t>
            </w:r>
          </w:p>
          <w:p w:rsidR="00731EE3" w:rsidRPr="00731EE3" w:rsidRDefault="00731EE3" w:rsidP="00731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3">
              <w:rPr>
                <w:rFonts w:ascii="Times New Roman" w:hAnsi="Times New Roman" w:cs="Times New Roman"/>
                <w:sz w:val="24"/>
                <w:szCs w:val="24"/>
              </w:rPr>
              <w:t xml:space="preserve">т/ф </w:t>
            </w:r>
            <w:r w:rsidRPr="008201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  <w:r w:rsidR="00820127" w:rsidRPr="008201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</w:t>
            </w:r>
          </w:p>
          <w:p w:rsidR="00731EE3" w:rsidRPr="00731EE3" w:rsidRDefault="00731EE3" w:rsidP="00731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EE3" w:rsidRPr="00731EE3" w:rsidRDefault="00731EE3" w:rsidP="00731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1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</w:t>
            </w:r>
          </w:p>
          <w:p w:rsidR="00731EE3" w:rsidRPr="00731EE3" w:rsidRDefault="00731EE3" w:rsidP="00731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EE3" w:rsidRPr="00731EE3" w:rsidRDefault="00731EE3" w:rsidP="00731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EE3" w:rsidRPr="00731EE3" w:rsidRDefault="00731EE3" w:rsidP="00731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3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31EE3" w:rsidRPr="00731EE3" w:rsidRDefault="00731EE3" w:rsidP="00731EE3">
            <w:pPr>
              <w:spacing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1EE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2C7083" w:rsidRPr="00C93022" w:rsidRDefault="002C7083" w:rsidP="0009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78B" w:rsidRDefault="00F0178B" w:rsidP="0009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4161" w:rsidRPr="00C93022" w:rsidRDefault="00650DCB" w:rsidP="006F4161">
      <w:pPr>
        <w:spacing w:after="0" w:line="240" w:lineRule="auto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771E0" w:rsidRDefault="006F4161" w:rsidP="00650DCB">
      <w:pPr>
        <w:spacing w:after="0" w:line="240" w:lineRule="auto"/>
        <w:ind w:left="14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22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650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сервисных услуг</w:t>
      </w:r>
    </w:p>
    <w:p w:rsidR="006F4161" w:rsidRPr="005771E0" w:rsidRDefault="006F4161" w:rsidP="005771E0">
      <w:pPr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5771E0">
        <w:rPr>
          <w:rFonts w:ascii="Times New Roman" w:hAnsi="Times New Roman" w:cs="Times New Roman"/>
          <w:sz w:val="24"/>
          <w:szCs w:val="24"/>
        </w:rPr>
        <w:t xml:space="preserve"> </w:t>
      </w:r>
      <w:r w:rsidR="005771E0" w:rsidRPr="005771E0">
        <w:rPr>
          <w:rFonts w:ascii="Times New Roman" w:hAnsi="Times New Roman" w:cs="Times New Roman"/>
          <w:sz w:val="24"/>
          <w:szCs w:val="24"/>
        </w:rPr>
        <w:t xml:space="preserve">№ </w:t>
      </w:r>
      <w:r w:rsidR="00650DCB" w:rsidRPr="00650DC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</w:t>
      </w:r>
      <w:r w:rsidR="005771E0" w:rsidRPr="00577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1E0" w:rsidRPr="005771E0">
        <w:rPr>
          <w:rFonts w:ascii="Times New Roman" w:hAnsi="Times New Roman" w:cs="Times New Roman"/>
          <w:sz w:val="24"/>
          <w:szCs w:val="24"/>
        </w:rPr>
        <w:t>от «</w:t>
      </w:r>
      <w:r w:rsidR="005771E0" w:rsidRPr="00593B1D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5771E0" w:rsidRPr="005771E0">
        <w:rPr>
          <w:rFonts w:ascii="Times New Roman" w:hAnsi="Times New Roman" w:cs="Times New Roman"/>
          <w:sz w:val="24"/>
          <w:szCs w:val="24"/>
        </w:rPr>
        <w:t xml:space="preserve">» </w:t>
      </w:r>
      <w:r w:rsidR="005771E0" w:rsidRPr="00593B1D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5771E0" w:rsidRPr="005771E0">
        <w:rPr>
          <w:rFonts w:ascii="Times New Roman" w:hAnsi="Times New Roman" w:cs="Times New Roman"/>
          <w:sz w:val="24"/>
          <w:szCs w:val="24"/>
        </w:rPr>
        <w:t xml:space="preserve"> 20</w:t>
      </w:r>
      <w:r w:rsidR="005771E0" w:rsidRPr="00593B1D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5771E0">
        <w:rPr>
          <w:rFonts w:ascii="Times New Roman" w:hAnsi="Times New Roman" w:cs="Times New Roman"/>
          <w:sz w:val="24"/>
          <w:szCs w:val="24"/>
        </w:rPr>
        <w:t xml:space="preserve"> г (далее – Договор)</w:t>
      </w:r>
    </w:p>
    <w:p w:rsidR="001128EF" w:rsidRPr="00C93022" w:rsidRDefault="001128EF" w:rsidP="006F4161">
      <w:pPr>
        <w:spacing w:after="0" w:line="240" w:lineRule="auto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1128EF" w:rsidRDefault="00EB4335" w:rsidP="00EB4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335">
        <w:rPr>
          <w:rFonts w:ascii="Times New Roman" w:hAnsi="Times New Roman" w:cs="Times New Roman"/>
          <w:sz w:val="24"/>
          <w:szCs w:val="24"/>
        </w:rPr>
        <w:t xml:space="preserve">Таблица 1. Перечень модулей </w:t>
      </w:r>
      <w:r>
        <w:rPr>
          <w:rFonts w:ascii="Times New Roman" w:hAnsi="Times New Roman" w:cs="Times New Roman"/>
          <w:sz w:val="24"/>
          <w:szCs w:val="24"/>
        </w:rPr>
        <w:t xml:space="preserve">порошкового </w:t>
      </w:r>
      <w:r w:rsidRPr="00EB4335">
        <w:rPr>
          <w:rFonts w:ascii="Times New Roman" w:hAnsi="Times New Roman" w:cs="Times New Roman"/>
          <w:sz w:val="24"/>
          <w:szCs w:val="24"/>
        </w:rPr>
        <w:t>пожар</w:t>
      </w:r>
      <w:r>
        <w:rPr>
          <w:rFonts w:ascii="Times New Roman" w:hAnsi="Times New Roman" w:cs="Times New Roman"/>
          <w:sz w:val="24"/>
          <w:szCs w:val="24"/>
        </w:rPr>
        <w:t>отушения.</w:t>
      </w:r>
    </w:p>
    <w:tbl>
      <w:tblPr>
        <w:tblW w:w="1021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129"/>
        <w:gridCol w:w="3378"/>
      </w:tblGrid>
      <w:tr w:rsidR="00EB4335" w:rsidTr="00C52B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335" w:rsidRPr="00EB4335" w:rsidRDefault="00EB4335" w:rsidP="00C52B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B4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B4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335" w:rsidRPr="00EB4335" w:rsidRDefault="00EB4335" w:rsidP="00C52B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модуля пожаротушения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35" w:rsidRPr="00EB4515" w:rsidRDefault="00EB4335" w:rsidP="00C52B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Децимальный номер</w:t>
            </w:r>
          </w:p>
          <w:p w:rsidR="00EB4335" w:rsidRPr="00EB4335" w:rsidRDefault="00EB4335" w:rsidP="00C52B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КД</w:t>
            </w:r>
          </w:p>
        </w:tc>
      </w:tr>
      <w:tr w:rsidR="00EB4335" w:rsidTr="00C52B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sz w:val="24"/>
                <w:szCs w:val="24"/>
              </w:rPr>
              <w:t>МПП «Гарант-5»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АБДВ.634233.050</w:t>
            </w:r>
          </w:p>
        </w:tc>
      </w:tr>
      <w:tr w:rsidR="00EB4335" w:rsidTr="00C52B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sz w:val="24"/>
                <w:szCs w:val="24"/>
              </w:rPr>
              <w:t>МПП «Гарант-7»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АБДВ.634233.070</w:t>
            </w:r>
          </w:p>
        </w:tc>
      </w:tr>
      <w:tr w:rsidR="00EB4335" w:rsidTr="00C52B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sz w:val="24"/>
                <w:szCs w:val="24"/>
              </w:rPr>
              <w:t>МПП «Гарант-12»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АБДВ.634233.120</w:t>
            </w:r>
          </w:p>
        </w:tc>
      </w:tr>
      <w:tr w:rsidR="00EB4335" w:rsidTr="00C52B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sz w:val="24"/>
                <w:szCs w:val="24"/>
              </w:rPr>
              <w:t>МПП «Гарант-12КД»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АБДВ.634233.130</w:t>
            </w:r>
          </w:p>
        </w:tc>
      </w:tr>
      <w:tr w:rsidR="00EB4335" w:rsidTr="00C52B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sz w:val="24"/>
                <w:szCs w:val="24"/>
              </w:rPr>
              <w:t>МПП «Гарант-</w:t>
            </w:r>
            <w:proofErr w:type="gramStart"/>
            <w:r w:rsidRPr="00EB4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EB4335">
              <w:rPr>
                <w:rFonts w:ascii="Times New Roman" w:hAnsi="Times New Roman" w:cs="Times New Roman"/>
                <w:sz w:val="24"/>
                <w:szCs w:val="24"/>
              </w:rPr>
              <w:t>» исп. 01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АБДВ.634233.140</w:t>
            </w:r>
          </w:p>
        </w:tc>
      </w:tr>
      <w:tr w:rsidR="00EB4335" w:rsidTr="00C52B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sz w:val="24"/>
                <w:szCs w:val="24"/>
              </w:rPr>
              <w:t>МПП «Гарант-</w:t>
            </w:r>
            <w:proofErr w:type="gramStart"/>
            <w:r w:rsidRPr="00EB4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EB4335">
              <w:rPr>
                <w:rFonts w:ascii="Times New Roman" w:hAnsi="Times New Roman" w:cs="Times New Roman"/>
                <w:sz w:val="24"/>
                <w:szCs w:val="24"/>
              </w:rPr>
              <w:t>» исп. 02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АБДВ.634233.140</w:t>
            </w:r>
          </w:p>
        </w:tc>
      </w:tr>
      <w:tr w:rsidR="00EB4335" w:rsidTr="00C52B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sz w:val="24"/>
                <w:szCs w:val="24"/>
              </w:rPr>
              <w:t>МПП «Гарант-</w:t>
            </w:r>
            <w:proofErr w:type="gramStart"/>
            <w:r w:rsidRPr="00EB4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EB4335">
              <w:rPr>
                <w:rFonts w:ascii="Times New Roman" w:hAnsi="Times New Roman" w:cs="Times New Roman"/>
                <w:sz w:val="24"/>
                <w:szCs w:val="24"/>
              </w:rPr>
              <w:t>» исп. 03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АБДВ.634233.140</w:t>
            </w:r>
          </w:p>
        </w:tc>
      </w:tr>
      <w:tr w:rsidR="00EB4335" w:rsidTr="00C52B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sz w:val="24"/>
                <w:szCs w:val="24"/>
              </w:rPr>
              <w:t>МПП «Гарант-5»вз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АБДВ.634233.053</w:t>
            </w:r>
          </w:p>
        </w:tc>
      </w:tr>
      <w:tr w:rsidR="00EB4335" w:rsidTr="00C52B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sz w:val="24"/>
                <w:szCs w:val="24"/>
              </w:rPr>
              <w:t>МПП «Гарант-7»вз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АБДВ.634233.073</w:t>
            </w:r>
          </w:p>
        </w:tc>
      </w:tr>
      <w:tr w:rsidR="00EB4335" w:rsidTr="00C52B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sz w:val="24"/>
                <w:szCs w:val="24"/>
              </w:rPr>
              <w:t>МПП «Гарант-12»вз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АБДВ.634233.122</w:t>
            </w:r>
          </w:p>
        </w:tc>
      </w:tr>
      <w:tr w:rsidR="00EB4335" w:rsidTr="00C52B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sz w:val="24"/>
                <w:szCs w:val="24"/>
              </w:rPr>
              <w:t>МПП «Гарант-12КД» во взрывозащищенном исполнении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АБДВ.634233.123</w:t>
            </w:r>
          </w:p>
        </w:tc>
      </w:tr>
      <w:tr w:rsidR="00EB4335" w:rsidTr="00C52B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sz w:val="24"/>
                <w:szCs w:val="24"/>
              </w:rPr>
              <w:t>МПП «Гарант-</w:t>
            </w:r>
            <w:proofErr w:type="gramStart"/>
            <w:r w:rsidRPr="00EB4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EB43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EB4335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proofErr w:type="spellEnd"/>
            <w:r w:rsidRPr="00EB4335">
              <w:rPr>
                <w:rFonts w:ascii="Times New Roman" w:hAnsi="Times New Roman" w:cs="Times New Roman"/>
                <w:sz w:val="24"/>
                <w:szCs w:val="24"/>
              </w:rPr>
              <w:t xml:space="preserve"> исп. 01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АБДВ.634233.140-01</w:t>
            </w:r>
          </w:p>
        </w:tc>
      </w:tr>
      <w:tr w:rsidR="00EB4335" w:rsidTr="00C52B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sz w:val="24"/>
                <w:szCs w:val="24"/>
              </w:rPr>
              <w:t>МПП «Гарант-</w:t>
            </w:r>
            <w:proofErr w:type="gramStart"/>
            <w:r w:rsidRPr="00EB4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EB43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EB4335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proofErr w:type="spellEnd"/>
            <w:r w:rsidRPr="00EB4335">
              <w:rPr>
                <w:rFonts w:ascii="Times New Roman" w:hAnsi="Times New Roman" w:cs="Times New Roman"/>
                <w:sz w:val="24"/>
                <w:szCs w:val="24"/>
              </w:rPr>
              <w:t xml:space="preserve"> исп. 02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АБДВ.634233.140-01</w:t>
            </w:r>
          </w:p>
        </w:tc>
      </w:tr>
      <w:tr w:rsidR="00EB4335" w:rsidTr="00C52B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sz w:val="24"/>
                <w:szCs w:val="24"/>
              </w:rPr>
              <w:t>МПП «Гарант-</w:t>
            </w:r>
            <w:proofErr w:type="gramStart"/>
            <w:r w:rsidRPr="00EB4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EB43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EB4335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proofErr w:type="spellEnd"/>
            <w:r w:rsidRPr="00EB4335">
              <w:rPr>
                <w:rFonts w:ascii="Times New Roman" w:hAnsi="Times New Roman" w:cs="Times New Roman"/>
                <w:sz w:val="24"/>
                <w:szCs w:val="24"/>
              </w:rPr>
              <w:t xml:space="preserve"> исп. 03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АБДВ.634233.140-01</w:t>
            </w:r>
          </w:p>
        </w:tc>
      </w:tr>
      <w:tr w:rsidR="00EB4335" w:rsidTr="00C52B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sz w:val="24"/>
                <w:szCs w:val="24"/>
              </w:rPr>
              <w:t>МПП «Гарант-Т1» исп. 01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27598783.634233.001-01</w:t>
            </w:r>
          </w:p>
        </w:tc>
      </w:tr>
      <w:tr w:rsidR="00EB4335" w:rsidTr="00C52B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sz w:val="24"/>
                <w:szCs w:val="24"/>
              </w:rPr>
              <w:t>МПП «Гарант-Т1» исп. 02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27598783.634233.001-02</w:t>
            </w:r>
          </w:p>
        </w:tc>
      </w:tr>
      <w:tr w:rsidR="00EB4335" w:rsidTr="00C52B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sz w:val="24"/>
                <w:szCs w:val="24"/>
              </w:rPr>
              <w:t>МПП «Гарант-Т1» исп. 03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27598783.634233.001-03</w:t>
            </w:r>
          </w:p>
        </w:tc>
      </w:tr>
      <w:tr w:rsidR="00EB4335" w:rsidTr="00C52B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sz w:val="24"/>
                <w:szCs w:val="24"/>
              </w:rPr>
              <w:t>МПП «Гарант-100вз»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МПП-100-Д50.00.00.000</w:t>
            </w:r>
          </w:p>
        </w:tc>
      </w:tr>
    </w:tbl>
    <w:p w:rsidR="00EB4335" w:rsidRPr="00C93022" w:rsidRDefault="00EB4335" w:rsidP="00EB4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F40" w:rsidRDefault="00EB4335" w:rsidP="00EB43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Pr="00EB4335">
        <w:rPr>
          <w:rFonts w:ascii="Times New Roman" w:hAnsi="Times New Roman" w:cs="Times New Roman"/>
          <w:sz w:val="24"/>
          <w:szCs w:val="24"/>
        </w:rPr>
        <w:t>. Перечень модульных установок пожаротушения тонкораспыленной водой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6114"/>
        <w:gridCol w:w="3478"/>
      </w:tblGrid>
      <w:tr w:rsidR="00EB4335" w:rsidTr="00EB4335">
        <w:tc>
          <w:tcPr>
            <w:tcW w:w="617" w:type="dxa"/>
            <w:shd w:val="clear" w:color="auto" w:fill="auto"/>
            <w:vAlign w:val="center"/>
          </w:tcPr>
          <w:p w:rsidR="00EB4335" w:rsidRPr="00EB4335" w:rsidRDefault="00EB4335" w:rsidP="00C52B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B4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B4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114" w:type="dxa"/>
            <w:shd w:val="clear" w:color="auto" w:fill="auto"/>
            <w:vAlign w:val="center"/>
          </w:tcPr>
          <w:p w:rsidR="00EB4335" w:rsidRPr="00EB4335" w:rsidRDefault="00EB4335" w:rsidP="00C52B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модуля пожаротушения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EB4335" w:rsidRPr="00EB4515" w:rsidRDefault="00EB4335" w:rsidP="00C52B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Децимальный номер</w:t>
            </w:r>
          </w:p>
          <w:p w:rsidR="00EB4335" w:rsidRPr="00EB4335" w:rsidRDefault="00EB4335" w:rsidP="00C52B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КД</w:t>
            </w:r>
          </w:p>
        </w:tc>
      </w:tr>
      <w:tr w:rsidR="00EB4335" w:rsidTr="00EB4335">
        <w:tc>
          <w:tcPr>
            <w:tcW w:w="617" w:type="dxa"/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14" w:type="dxa"/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sz w:val="24"/>
                <w:szCs w:val="24"/>
              </w:rPr>
              <w:t>МУПТВ «ТРВ-Гарант»-14,5-ГЗ-ВД (исп.011, 012, 014, 015, исп. П)</w:t>
            </w:r>
          </w:p>
        </w:tc>
        <w:tc>
          <w:tcPr>
            <w:tcW w:w="3478" w:type="dxa"/>
            <w:shd w:val="clear" w:color="auto" w:fill="auto"/>
          </w:tcPr>
          <w:p w:rsidR="00EB4335" w:rsidRPr="00EB4335" w:rsidRDefault="00EB4335" w:rsidP="00C52B3B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МУПТВ-14,5.0000-010</w:t>
            </w:r>
          </w:p>
        </w:tc>
      </w:tr>
      <w:tr w:rsidR="00EB4335" w:rsidTr="00EB4335">
        <w:tc>
          <w:tcPr>
            <w:tcW w:w="617" w:type="dxa"/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14" w:type="dxa"/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sz w:val="24"/>
                <w:szCs w:val="24"/>
              </w:rPr>
              <w:t>МУПТВ «ТРВ-Гарант-14,5-Г-В.</w:t>
            </w:r>
          </w:p>
        </w:tc>
        <w:tc>
          <w:tcPr>
            <w:tcW w:w="3478" w:type="dxa"/>
            <w:shd w:val="clear" w:color="auto" w:fill="auto"/>
          </w:tcPr>
          <w:p w:rsidR="00EB4335" w:rsidRPr="00EB4335" w:rsidRDefault="00EB4335" w:rsidP="00C52B3B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МУПТВ-14,5.0000-021</w:t>
            </w:r>
          </w:p>
        </w:tc>
      </w:tr>
      <w:tr w:rsidR="00EB4335" w:rsidTr="00EB4335">
        <w:tc>
          <w:tcPr>
            <w:tcW w:w="617" w:type="dxa"/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14" w:type="dxa"/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sz w:val="24"/>
                <w:szCs w:val="24"/>
              </w:rPr>
              <w:t>МУПТВ «ТРВ-Гарант»-14,5-ГЗ-ВД исп. «ТРВ-Гарант-14,5-11»-111, 112, 114</w:t>
            </w:r>
          </w:p>
        </w:tc>
        <w:tc>
          <w:tcPr>
            <w:tcW w:w="3478" w:type="dxa"/>
            <w:shd w:val="clear" w:color="auto" w:fill="auto"/>
          </w:tcPr>
          <w:p w:rsidR="00EB4335" w:rsidRPr="00EB4335" w:rsidRDefault="00EB4335" w:rsidP="00C52B3B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МУПТВ-14500.200.00</w:t>
            </w:r>
          </w:p>
        </w:tc>
      </w:tr>
      <w:tr w:rsidR="00EB4335" w:rsidTr="00EB4335">
        <w:tc>
          <w:tcPr>
            <w:tcW w:w="617" w:type="dxa"/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14" w:type="dxa"/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sz w:val="24"/>
                <w:szCs w:val="24"/>
              </w:rPr>
              <w:t>МУПТВ «ТРВ-Гарант-160» (исп. 10-145, исп.10-390)</w:t>
            </w:r>
          </w:p>
          <w:p w:rsidR="00EB4335" w:rsidRPr="00EB4335" w:rsidRDefault="00EB4335" w:rsidP="00C52B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sz w:val="24"/>
                <w:szCs w:val="24"/>
              </w:rPr>
              <w:t>МУПТВ «ТРВ-Гарант-160» (исп.40-145, исп.40-390)</w:t>
            </w:r>
          </w:p>
        </w:tc>
        <w:tc>
          <w:tcPr>
            <w:tcW w:w="3478" w:type="dxa"/>
            <w:shd w:val="clear" w:color="auto" w:fill="auto"/>
          </w:tcPr>
          <w:p w:rsidR="00EB4335" w:rsidRPr="00EB4335" w:rsidRDefault="00EB4335" w:rsidP="00C52B3B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МУПТВ-160-10.00.00.000</w:t>
            </w:r>
          </w:p>
          <w:p w:rsidR="00EB4335" w:rsidRPr="00EB4335" w:rsidRDefault="00EB4335" w:rsidP="00C52B3B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335" w:rsidRPr="00EB4335" w:rsidRDefault="00EB4335" w:rsidP="00C52B3B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МУПТВ-160-40Р.00.00.000</w:t>
            </w:r>
          </w:p>
        </w:tc>
      </w:tr>
      <w:tr w:rsidR="00EB4335" w:rsidTr="00EB4335">
        <w:tc>
          <w:tcPr>
            <w:tcW w:w="617" w:type="dxa"/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14" w:type="dxa"/>
            <w:shd w:val="clear" w:color="auto" w:fill="auto"/>
          </w:tcPr>
          <w:p w:rsidR="00EB4335" w:rsidRPr="00EB4335" w:rsidRDefault="00EB4335" w:rsidP="00C52B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sz w:val="24"/>
                <w:szCs w:val="24"/>
              </w:rPr>
              <w:t>МУПТВ «ТРВ-Гарант»-30-Г-ВД</w:t>
            </w:r>
          </w:p>
        </w:tc>
        <w:tc>
          <w:tcPr>
            <w:tcW w:w="3478" w:type="dxa"/>
            <w:shd w:val="clear" w:color="auto" w:fill="auto"/>
          </w:tcPr>
          <w:p w:rsidR="00EB4335" w:rsidRPr="00EB4335" w:rsidRDefault="00EB4335" w:rsidP="00C52B3B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Cs/>
                <w:sz w:val="24"/>
                <w:szCs w:val="24"/>
              </w:rPr>
              <w:t>МУПТВ-30-50.000.00.000</w:t>
            </w:r>
          </w:p>
        </w:tc>
      </w:tr>
    </w:tbl>
    <w:p w:rsidR="00EB4335" w:rsidRPr="00EB4335" w:rsidRDefault="00EB4335" w:rsidP="00EB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515">
        <w:rPr>
          <w:rFonts w:ascii="Times New Roman" w:hAnsi="Times New Roman" w:cs="Times New Roman"/>
          <w:b/>
          <w:sz w:val="24"/>
          <w:szCs w:val="24"/>
        </w:rPr>
        <w:t>КД</w:t>
      </w:r>
      <w:r w:rsidRPr="00EB4515">
        <w:rPr>
          <w:rFonts w:ascii="Times New Roman" w:hAnsi="Times New Roman" w:cs="Times New Roman"/>
          <w:sz w:val="24"/>
          <w:szCs w:val="24"/>
        </w:rPr>
        <w:t xml:space="preserve"> – конструкторская документация</w:t>
      </w:r>
    </w:p>
    <w:p w:rsidR="00A24A00" w:rsidRPr="00EB4335" w:rsidRDefault="00A24A00" w:rsidP="00E9415C">
      <w:pPr>
        <w:pStyle w:val="a5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83"/>
        <w:gridCol w:w="4784"/>
      </w:tblGrid>
      <w:tr w:rsidR="00CC3FCF" w:rsidRPr="00CC3FCF" w:rsidTr="00483FC6">
        <w:tc>
          <w:tcPr>
            <w:tcW w:w="4503" w:type="dxa"/>
            <w:shd w:val="clear" w:color="auto" w:fill="auto"/>
          </w:tcPr>
          <w:p w:rsidR="00CC3FCF" w:rsidRPr="00CC3FCF" w:rsidRDefault="00EB4335" w:rsidP="00483F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283" w:type="dxa"/>
            <w:shd w:val="clear" w:color="auto" w:fill="auto"/>
          </w:tcPr>
          <w:p w:rsidR="00CC3FCF" w:rsidRPr="00CC3FCF" w:rsidRDefault="00CC3FCF" w:rsidP="00483F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CC3FCF" w:rsidRPr="00CC3FCF" w:rsidRDefault="00EB4335" w:rsidP="00483F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АСЦ</w:t>
            </w:r>
          </w:p>
        </w:tc>
      </w:tr>
      <w:tr w:rsidR="00CC3FCF" w:rsidRPr="00CC3FCF" w:rsidTr="00483FC6">
        <w:trPr>
          <w:trHeight w:val="501"/>
        </w:trPr>
        <w:tc>
          <w:tcPr>
            <w:tcW w:w="4503" w:type="dxa"/>
            <w:shd w:val="clear" w:color="auto" w:fill="auto"/>
          </w:tcPr>
          <w:p w:rsidR="00CC3FCF" w:rsidRPr="006D4A32" w:rsidRDefault="006D4A32" w:rsidP="00483F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«ГК ЭТЕРНИС»</w:t>
            </w:r>
          </w:p>
        </w:tc>
        <w:tc>
          <w:tcPr>
            <w:tcW w:w="283" w:type="dxa"/>
            <w:shd w:val="clear" w:color="auto" w:fill="auto"/>
          </w:tcPr>
          <w:p w:rsidR="00CC3FCF" w:rsidRPr="00CC3FCF" w:rsidRDefault="00CC3FCF" w:rsidP="00483F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CC3FCF" w:rsidRPr="00CC3FCF" w:rsidRDefault="006D4A32" w:rsidP="00483F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FC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наименование организации</w:t>
            </w:r>
          </w:p>
        </w:tc>
      </w:tr>
      <w:tr w:rsidR="006D4A32" w:rsidRPr="00CC3FCF" w:rsidTr="00483FC6">
        <w:trPr>
          <w:trHeight w:val="501"/>
        </w:trPr>
        <w:tc>
          <w:tcPr>
            <w:tcW w:w="4503" w:type="dxa"/>
            <w:shd w:val="clear" w:color="auto" w:fill="auto"/>
          </w:tcPr>
          <w:p w:rsidR="006D4A32" w:rsidRDefault="006D4A32" w:rsidP="00483F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A32" w:rsidRDefault="006D4A32" w:rsidP="00483F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/Воробьев С.И.</w:t>
            </w:r>
          </w:p>
        </w:tc>
        <w:tc>
          <w:tcPr>
            <w:tcW w:w="283" w:type="dxa"/>
            <w:shd w:val="clear" w:color="auto" w:fill="auto"/>
          </w:tcPr>
          <w:p w:rsidR="006D4A32" w:rsidRPr="00CC3FCF" w:rsidRDefault="006D4A32" w:rsidP="00483F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6D4A32" w:rsidRDefault="006D4A32" w:rsidP="00483FC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6D4A32" w:rsidRPr="006D4A32" w:rsidRDefault="006D4A32" w:rsidP="00483F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A3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/Ф.И.О./</w:t>
            </w:r>
          </w:p>
        </w:tc>
      </w:tr>
    </w:tbl>
    <w:p w:rsidR="00F0178B" w:rsidRDefault="00F0178B" w:rsidP="00102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178B" w:rsidRPr="00C93022" w:rsidRDefault="00F0178B" w:rsidP="00F0178B">
      <w:pPr>
        <w:spacing w:after="0" w:line="240" w:lineRule="auto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EB451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0178B" w:rsidRDefault="00F0178B" w:rsidP="00F0178B">
      <w:pPr>
        <w:spacing w:after="0" w:line="240" w:lineRule="auto"/>
        <w:ind w:left="14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22">
        <w:rPr>
          <w:rFonts w:ascii="Times New Roman" w:hAnsi="Times New Roman" w:cs="Times New Roman"/>
          <w:sz w:val="24"/>
          <w:szCs w:val="24"/>
        </w:rPr>
        <w:t xml:space="preserve">к Договору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сервисных услуг</w:t>
      </w:r>
    </w:p>
    <w:p w:rsidR="00F0178B" w:rsidRDefault="00F0178B" w:rsidP="00F0178B">
      <w:pPr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5771E0">
        <w:rPr>
          <w:rFonts w:ascii="Times New Roman" w:hAnsi="Times New Roman" w:cs="Times New Roman"/>
          <w:sz w:val="24"/>
          <w:szCs w:val="24"/>
        </w:rPr>
        <w:t xml:space="preserve"> № </w:t>
      </w:r>
      <w:r w:rsidRPr="00650DC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</w:t>
      </w:r>
      <w:r w:rsidRPr="00577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1E0">
        <w:rPr>
          <w:rFonts w:ascii="Times New Roman" w:hAnsi="Times New Roman" w:cs="Times New Roman"/>
          <w:sz w:val="24"/>
          <w:szCs w:val="24"/>
        </w:rPr>
        <w:t>от «</w:t>
      </w:r>
      <w:r w:rsidRPr="00593B1D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5771E0">
        <w:rPr>
          <w:rFonts w:ascii="Times New Roman" w:hAnsi="Times New Roman" w:cs="Times New Roman"/>
          <w:sz w:val="24"/>
          <w:szCs w:val="24"/>
        </w:rPr>
        <w:t xml:space="preserve">» </w:t>
      </w:r>
      <w:r w:rsidRPr="00593B1D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Pr="005771E0">
        <w:rPr>
          <w:rFonts w:ascii="Times New Roman" w:hAnsi="Times New Roman" w:cs="Times New Roman"/>
          <w:sz w:val="24"/>
          <w:szCs w:val="24"/>
        </w:rPr>
        <w:t xml:space="preserve"> 20</w:t>
      </w:r>
      <w:r w:rsidRPr="00593B1D">
        <w:rPr>
          <w:rFonts w:ascii="Times New Roman" w:hAnsi="Times New Roman" w:cs="Times New Roman"/>
          <w:sz w:val="24"/>
          <w:szCs w:val="24"/>
          <w:highlight w:val="yellow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 (далее – Договор)</w:t>
      </w:r>
    </w:p>
    <w:p w:rsidR="00F0178B" w:rsidRDefault="00F0178B" w:rsidP="00F0178B">
      <w:pPr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F0178B" w:rsidRPr="005771E0" w:rsidRDefault="00F0178B" w:rsidP="00F0178B">
      <w:pPr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F0178B" w:rsidRDefault="00F0178B" w:rsidP="00F0178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предоставления статистики выполненных работ</w:t>
      </w:r>
    </w:p>
    <w:p w:rsidR="00F0178B" w:rsidRDefault="00F0178B" w:rsidP="00F0178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518"/>
        <w:gridCol w:w="2693"/>
        <w:gridCol w:w="1559"/>
        <w:gridCol w:w="2694"/>
      </w:tblGrid>
      <w:tr w:rsidR="00F0178B" w:rsidTr="00C41E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78B" w:rsidRPr="00EB4335" w:rsidRDefault="00F0178B" w:rsidP="00F359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B4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B4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78B" w:rsidRPr="00EB4335" w:rsidRDefault="00F0178B" w:rsidP="00F0178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78B" w:rsidRPr="00EB4335" w:rsidRDefault="00C41E09" w:rsidP="00F359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модуля пожаротушения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8B" w:rsidRPr="00C41E09" w:rsidRDefault="00C41E09" w:rsidP="00F359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8B" w:rsidRPr="00C41E09" w:rsidRDefault="00C41E09" w:rsidP="00F359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выполненных работ</w:t>
            </w:r>
          </w:p>
        </w:tc>
      </w:tr>
      <w:tr w:rsidR="00F0178B" w:rsidTr="00C41E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8B" w:rsidRPr="00EB4335" w:rsidRDefault="00F0178B" w:rsidP="00F359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8B" w:rsidRPr="00EB4335" w:rsidRDefault="00F0178B" w:rsidP="00F359C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78B" w:rsidRPr="00EB4335" w:rsidRDefault="00F0178B" w:rsidP="00F359C5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8B" w:rsidRPr="00EB4335" w:rsidRDefault="00F0178B" w:rsidP="00F359C5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8B" w:rsidRPr="00EB4335" w:rsidRDefault="00F0178B" w:rsidP="00F359C5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78B" w:rsidTr="00C41E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8B" w:rsidRPr="00EB4335" w:rsidRDefault="00F0178B" w:rsidP="00F359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8B" w:rsidRPr="00EB4335" w:rsidRDefault="00F0178B" w:rsidP="00F359C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78B" w:rsidRPr="00EB4335" w:rsidRDefault="00F0178B" w:rsidP="00F359C5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8B" w:rsidRPr="00EB4335" w:rsidRDefault="00F0178B" w:rsidP="00F359C5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8B" w:rsidRPr="00EB4335" w:rsidRDefault="00F0178B" w:rsidP="00F359C5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478BD" w:rsidRDefault="002478BD" w:rsidP="001023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83"/>
        <w:gridCol w:w="4784"/>
      </w:tblGrid>
      <w:tr w:rsidR="002478BD" w:rsidRPr="00CC3FCF" w:rsidTr="00484F4E">
        <w:tc>
          <w:tcPr>
            <w:tcW w:w="4503" w:type="dxa"/>
            <w:shd w:val="clear" w:color="auto" w:fill="auto"/>
          </w:tcPr>
          <w:p w:rsidR="002478BD" w:rsidRPr="00CC3FCF" w:rsidRDefault="002478BD" w:rsidP="00484F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283" w:type="dxa"/>
            <w:shd w:val="clear" w:color="auto" w:fill="auto"/>
          </w:tcPr>
          <w:p w:rsidR="002478BD" w:rsidRPr="00CC3FCF" w:rsidRDefault="002478BD" w:rsidP="00484F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2478BD" w:rsidRPr="00CC3FCF" w:rsidRDefault="002478BD" w:rsidP="00484F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АСЦ</w:t>
            </w:r>
          </w:p>
        </w:tc>
      </w:tr>
      <w:tr w:rsidR="002478BD" w:rsidRPr="00CC3FCF" w:rsidTr="00484F4E">
        <w:trPr>
          <w:trHeight w:val="501"/>
        </w:trPr>
        <w:tc>
          <w:tcPr>
            <w:tcW w:w="4503" w:type="dxa"/>
            <w:shd w:val="clear" w:color="auto" w:fill="auto"/>
          </w:tcPr>
          <w:p w:rsidR="002478BD" w:rsidRPr="006D4A32" w:rsidRDefault="002478BD" w:rsidP="00484F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«ГК ЭТЕРНИС»</w:t>
            </w:r>
          </w:p>
        </w:tc>
        <w:tc>
          <w:tcPr>
            <w:tcW w:w="283" w:type="dxa"/>
            <w:shd w:val="clear" w:color="auto" w:fill="auto"/>
          </w:tcPr>
          <w:p w:rsidR="002478BD" w:rsidRPr="00CC3FCF" w:rsidRDefault="002478BD" w:rsidP="00484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2478BD" w:rsidRPr="00CC3FCF" w:rsidRDefault="002478BD" w:rsidP="00484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FC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наименование организации</w:t>
            </w:r>
          </w:p>
        </w:tc>
      </w:tr>
      <w:tr w:rsidR="002478BD" w:rsidRPr="00CC3FCF" w:rsidTr="00484F4E">
        <w:trPr>
          <w:trHeight w:val="501"/>
        </w:trPr>
        <w:tc>
          <w:tcPr>
            <w:tcW w:w="4503" w:type="dxa"/>
            <w:shd w:val="clear" w:color="auto" w:fill="auto"/>
          </w:tcPr>
          <w:p w:rsidR="002478BD" w:rsidRDefault="002478BD" w:rsidP="00484F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8BD" w:rsidRDefault="002478BD" w:rsidP="00484F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/Воробьев С.И.</w:t>
            </w:r>
          </w:p>
        </w:tc>
        <w:tc>
          <w:tcPr>
            <w:tcW w:w="283" w:type="dxa"/>
            <w:shd w:val="clear" w:color="auto" w:fill="auto"/>
          </w:tcPr>
          <w:p w:rsidR="002478BD" w:rsidRPr="00CC3FCF" w:rsidRDefault="002478BD" w:rsidP="00484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2478BD" w:rsidRDefault="002478BD" w:rsidP="00484F4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2478BD" w:rsidRPr="006D4A32" w:rsidRDefault="002478BD" w:rsidP="00484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A3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/Ф.И.О./</w:t>
            </w:r>
          </w:p>
        </w:tc>
      </w:tr>
    </w:tbl>
    <w:p w:rsidR="002478BD" w:rsidRDefault="002478BD" w:rsidP="001023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78BD" w:rsidSect="00EB4335">
      <w:pgSz w:w="11909" w:h="16834"/>
      <w:pgMar w:top="851" w:right="852" w:bottom="1134" w:left="993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15F" w:rsidRDefault="0014515F">
      <w:pPr>
        <w:spacing w:after="0" w:line="240" w:lineRule="auto"/>
      </w:pPr>
      <w:r>
        <w:separator/>
      </w:r>
    </w:p>
  </w:endnote>
  <w:endnote w:type="continuationSeparator" w:id="0">
    <w:p w:rsidR="0014515F" w:rsidRDefault="0014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15F" w:rsidRDefault="0014515F">
      <w:pPr>
        <w:spacing w:after="0" w:line="240" w:lineRule="auto"/>
      </w:pPr>
      <w:r>
        <w:separator/>
      </w:r>
    </w:p>
  </w:footnote>
  <w:footnote w:type="continuationSeparator" w:id="0">
    <w:p w:rsidR="0014515F" w:rsidRDefault="00145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8EE601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8"/>
      <w:numFmt w:val="decimal"/>
      <w:lvlText w:val="3.2.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3.2.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3.2.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"/>
      <w:numFmt w:val="decimal"/>
      <w:lvlText w:val="3.2.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3.2.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3.2.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3.2.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3.2.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3.2.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44A4C03"/>
    <w:multiLevelType w:val="multilevel"/>
    <w:tmpl w:val="AE929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7008C3"/>
    <w:multiLevelType w:val="hybridMultilevel"/>
    <w:tmpl w:val="BAB68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304E7"/>
    <w:multiLevelType w:val="multilevel"/>
    <w:tmpl w:val="F654AB1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11360987"/>
    <w:multiLevelType w:val="hybridMultilevel"/>
    <w:tmpl w:val="F326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A61AF5"/>
    <w:multiLevelType w:val="hybridMultilevel"/>
    <w:tmpl w:val="B6C65D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E9B7C3A"/>
    <w:multiLevelType w:val="hybridMultilevel"/>
    <w:tmpl w:val="0436F7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36F3F90"/>
    <w:multiLevelType w:val="multilevel"/>
    <w:tmpl w:val="7F682F9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3B839BF"/>
    <w:multiLevelType w:val="multilevel"/>
    <w:tmpl w:val="1E32E4C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B567336"/>
    <w:multiLevelType w:val="hybridMultilevel"/>
    <w:tmpl w:val="6F1847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CF"/>
    <w:rsid w:val="00003C91"/>
    <w:rsid w:val="00006F0B"/>
    <w:rsid w:val="00013714"/>
    <w:rsid w:val="00020010"/>
    <w:rsid w:val="0002636F"/>
    <w:rsid w:val="000274CF"/>
    <w:rsid w:val="00031FED"/>
    <w:rsid w:val="00042E42"/>
    <w:rsid w:val="00043C81"/>
    <w:rsid w:val="0004479C"/>
    <w:rsid w:val="00044B83"/>
    <w:rsid w:val="0004639D"/>
    <w:rsid w:val="0005074F"/>
    <w:rsid w:val="0006013C"/>
    <w:rsid w:val="000640D2"/>
    <w:rsid w:val="000721B1"/>
    <w:rsid w:val="0009607B"/>
    <w:rsid w:val="00096BBF"/>
    <w:rsid w:val="000C2353"/>
    <w:rsid w:val="000C2F55"/>
    <w:rsid w:val="000C3AE8"/>
    <w:rsid w:val="000C4008"/>
    <w:rsid w:val="000D0CBD"/>
    <w:rsid w:val="000E13F8"/>
    <w:rsid w:val="000E33B3"/>
    <w:rsid w:val="00100933"/>
    <w:rsid w:val="0010236F"/>
    <w:rsid w:val="0011067A"/>
    <w:rsid w:val="00111CDB"/>
    <w:rsid w:val="001128EF"/>
    <w:rsid w:val="00112C5B"/>
    <w:rsid w:val="001209CD"/>
    <w:rsid w:val="001221E4"/>
    <w:rsid w:val="00141545"/>
    <w:rsid w:val="00141C99"/>
    <w:rsid w:val="0014515F"/>
    <w:rsid w:val="00166F66"/>
    <w:rsid w:val="00170267"/>
    <w:rsid w:val="00176852"/>
    <w:rsid w:val="00194F83"/>
    <w:rsid w:val="00197DE7"/>
    <w:rsid w:val="001A6351"/>
    <w:rsid w:val="001C5EB2"/>
    <w:rsid w:val="001D3FE2"/>
    <w:rsid w:val="001F79CA"/>
    <w:rsid w:val="00204E1B"/>
    <w:rsid w:val="00237E51"/>
    <w:rsid w:val="002400E3"/>
    <w:rsid w:val="002478BD"/>
    <w:rsid w:val="00272AC6"/>
    <w:rsid w:val="0028543A"/>
    <w:rsid w:val="002867DF"/>
    <w:rsid w:val="002920B0"/>
    <w:rsid w:val="002926BD"/>
    <w:rsid w:val="00292F80"/>
    <w:rsid w:val="00296060"/>
    <w:rsid w:val="00297ED5"/>
    <w:rsid w:val="002C5BB5"/>
    <w:rsid w:val="002C7083"/>
    <w:rsid w:val="002D09CF"/>
    <w:rsid w:val="002D34A6"/>
    <w:rsid w:val="002D6F40"/>
    <w:rsid w:val="002F7EEE"/>
    <w:rsid w:val="00305443"/>
    <w:rsid w:val="003104FE"/>
    <w:rsid w:val="00310E17"/>
    <w:rsid w:val="0031247F"/>
    <w:rsid w:val="00316CAD"/>
    <w:rsid w:val="0031702A"/>
    <w:rsid w:val="00334CD0"/>
    <w:rsid w:val="00335D74"/>
    <w:rsid w:val="00350E94"/>
    <w:rsid w:val="00360365"/>
    <w:rsid w:val="00363FCD"/>
    <w:rsid w:val="00372FA2"/>
    <w:rsid w:val="003731DF"/>
    <w:rsid w:val="0037784F"/>
    <w:rsid w:val="003824BB"/>
    <w:rsid w:val="0038315D"/>
    <w:rsid w:val="0039378D"/>
    <w:rsid w:val="003A4A2D"/>
    <w:rsid w:val="003A508E"/>
    <w:rsid w:val="003A50A8"/>
    <w:rsid w:val="003A56E2"/>
    <w:rsid w:val="003B5D46"/>
    <w:rsid w:val="003B7D6F"/>
    <w:rsid w:val="003C1BFB"/>
    <w:rsid w:val="003C2C17"/>
    <w:rsid w:val="003D3068"/>
    <w:rsid w:val="003D436A"/>
    <w:rsid w:val="003F1C21"/>
    <w:rsid w:val="00427901"/>
    <w:rsid w:val="0044172E"/>
    <w:rsid w:val="00444B76"/>
    <w:rsid w:val="004459CE"/>
    <w:rsid w:val="00472593"/>
    <w:rsid w:val="004818B3"/>
    <w:rsid w:val="00482073"/>
    <w:rsid w:val="00484577"/>
    <w:rsid w:val="00496566"/>
    <w:rsid w:val="004A40CD"/>
    <w:rsid w:val="004C77B7"/>
    <w:rsid w:val="004F1137"/>
    <w:rsid w:val="0050508C"/>
    <w:rsid w:val="00533F63"/>
    <w:rsid w:val="005374C9"/>
    <w:rsid w:val="00546E2E"/>
    <w:rsid w:val="00547DC1"/>
    <w:rsid w:val="005543D4"/>
    <w:rsid w:val="0056554E"/>
    <w:rsid w:val="00571E53"/>
    <w:rsid w:val="0057478C"/>
    <w:rsid w:val="0057659E"/>
    <w:rsid w:val="005771E0"/>
    <w:rsid w:val="00585639"/>
    <w:rsid w:val="00593B1D"/>
    <w:rsid w:val="005A2C18"/>
    <w:rsid w:val="005C5703"/>
    <w:rsid w:val="005D29FE"/>
    <w:rsid w:val="005D4E8E"/>
    <w:rsid w:val="005E2439"/>
    <w:rsid w:val="005F1283"/>
    <w:rsid w:val="005F2FC9"/>
    <w:rsid w:val="005F3020"/>
    <w:rsid w:val="00602EED"/>
    <w:rsid w:val="0061043E"/>
    <w:rsid w:val="00650DCB"/>
    <w:rsid w:val="00666DA1"/>
    <w:rsid w:val="00666F2F"/>
    <w:rsid w:val="00693DF9"/>
    <w:rsid w:val="006A00F6"/>
    <w:rsid w:val="006A647C"/>
    <w:rsid w:val="006C2237"/>
    <w:rsid w:val="006D4A32"/>
    <w:rsid w:val="006F4161"/>
    <w:rsid w:val="0070067F"/>
    <w:rsid w:val="007041B2"/>
    <w:rsid w:val="007127FE"/>
    <w:rsid w:val="00725D6A"/>
    <w:rsid w:val="00731DA5"/>
    <w:rsid w:val="00731EE3"/>
    <w:rsid w:val="007368B1"/>
    <w:rsid w:val="007410C4"/>
    <w:rsid w:val="00747390"/>
    <w:rsid w:val="00763123"/>
    <w:rsid w:val="00777D18"/>
    <w:rsid w:val="00791E12"/>
    <w:rsid w:val="007A5065"/>
    <w:rsid w:val="007D7A2F"/>
    <w:rsid w:val="007F7F0C"/>
    <w:rsid w:val="008034A7"/>
    <w:rsid w:val="008166DE"/>
    <w:rsid w:val="00820127"/>
    <w:rsid w:val="00822945"/>
    <w:rsid w:val="00855A2A"/>
    <w:rsid w:val="00856323"/>
    <w:rsid w:val="00884DBF"/>
    <w:rsid w:val="008C390A"/>
    <w:rsid w:val="008C7D16"/>
    <w:rsid w:val="008E524C"/>
    <w:rsid w:val="008E556A"/>
    <w:rsid w:val="009048FB"/>
    <w:rsid w:val="0092202D"/>
    <w:rsid w:val="00922311"/>
    <w:rsid w:val="00931AEB"/>
    <w:rsid w:val="009608C2"/>
    <w:rsid w:val="00960EE5"/>
    <w:rsid w:val="00966943"/>
    <w:rsid w:val="00980E77"/>
    <w:rsid w:val="009A1ACC"/>
    <w:rsid w:val="009A6582"/>
    <w:rsid w:val="009C06F3"/>
    <w:rsid w:val="009D359C"/>
    <w:rsid w:val="00A0301B"/>
    <w:rsid w:val="00A07469"/>
    <w:rsid w:val="00A146A3"/>
    <w:rsid w:val="00A202DF"/>
    <w:rsid w:val="00A231C7"/>
    <w:rsid w:val="00A2443A"/>
    <w:rsid w:val="00A24A00"/>
    <w:rsid w:val="00A358CF"/>
    <w:rsid w:val="00A5130A"/>
    <w:rsid w:val="00A52C59"/>
    <w:rsid w:val="00A56274"/>
    <w:rsid w:val="00A64152"/>
    <w:rsid w:val="00A67E25"/>
    <w:rsid w:val="00A7273D"/>
    <w:rsid w:val="00A73060"/>
    <w:rsid w:val="00A74DC4"/>
    <w:rsid w:val="00A75BCE"/>
    <w:rsid w:val="00A8171B"/>
    <w:rsid w:val="00A86F11"/>
    <w:rsid w:val="00AA418B"/>
    <w:rsid w:val="00AB6F2D"/>
    <w:rsid w:val="00AD0D29"/>
    <w:rsid w:val="00AE6219"/>
    <w:rsid w:val="00AF60AC"/>
    <w:rsid w:val="00B05D00"/>
    <w:rsid w:val="00B13410"/>
    <w:rsid w:val="00B32E89"/>
    <w:rsid w:val="00B40844"/>
    <w:rsid w:val="00B413E0"/>
    <w:rsid w:val="00B52589"/>
    <w:rsid w:val="00B5413A"/>
    <w:rsid w:val="00B57012"/>
    <w:rsid w:val="00B7381F"/>
    <w:rsid w:val="00BA53CF"/>
    <w:rsid w:val="00BA61CC"/>
    <w:rsid w:val="00BB381D"/>
    <w:rsid w:val="00BB3BC6"/>
    <w:rsid w:val="00BC2BF9"/>
    <w:rsid w:val="00BF3087"/>
    <w:rsid w:val="00C0293B"/>
    <w:rsid w:val="00C036E6"/>
    <w:rsid w:val="00C14E81"/>
    <w:rsid w:val="00C170FF"/>
    <w:rsid w:val="00C22345"/>
    <w:rsid w:val="00C3490D"/>
    <w:rsid w:val="00C41E09"/>
    <w:rsid w:val="00C46A26"/>
    <w:rsid w:val="00C51670"/>
    <w:rsid w:val="00C62A88"/>
    <w:rsid w:val="00C743F6"/>
    <w:rsid w:val="00C7557C"/>
    <w:rsid w:val="00C85561"/>
    <w:rsid w:val="00C93022"/>
    <w:rsid w:val="00CB21ED"/>
    <w:rsid w:val="00CC033D"/>
    <w:rsid w:val="00CC280C"/>
    <w:rsid w:val="00CC3FCF"/>
    <w:rsid w:val="00CD410A"/>
    <w:rsid w:val="00CF0F85"/>
    <w:rsid w:val="00CF5E78"/>
    <w:rsid w:val="00D027B3"/>
    <w:rsid w:val="00D05A65"/>
    <w:rsid w:val="00D0746B"/>
    <w:rsid w:val="00D26023"/>
    <w:rsid w:val="00D40AC7"/>
    <w:rsid w:val="00D4126B"/>
    <w:rsid w:val="00D578CF"/>
    <w:rsid w:val="00D70C6E"/>
    <w:rsid w:val="00D81F93"/>
    <w:rsid w:val="00D909AF"/>
    <w:rsid w:val="00DC2794"/>
    <w:rsid w:val="00DC7488"/>
    <w:rsid w:val="00DD55BE"/>
    <w:rsid w:val="00DE274C"/>
    <w:rsid w:val="00DF0081"/>
    <w:rsid w:val="00DF117A"/>
    <w:rsid w:val="00E039B7"/>
    <w:rsid w:val="00E10358"/>
    <w:rsid w:val="00E11A7F"/>
    <w:rsid w:val="00E30761"/>
    <w:rsid w:val="00E30765"/>
    <w:rsid w:val="00E5082C"/>
    <w:rsid w:val="00E62829"/>
    <w:rsid w:val="00E73B11"/>
    <w:rsid w:val="00E84309"/>
    <w:rsid w:val="00E871FC"/>
    <w:rsid w:val="00E93145"/>
    <w:rsid w:val="00E9415C"/>
    <w:rsid w:val="00E95065"/>
    <w:rsid w:val="00EA5C27"/>
    <w:rsid w:val="00EA5F30"/>
    <w:rsid w:val="00EA7811"/>
    <w:rsid w:val="00EB4335"/>
    <w:rsid w:val="00EB4515"/>
    <w:rsid w:val="00EB6DE0"/>
    <w:rsid w:val="00ED40AE"/>
    <w:rsid w:val="00EE41BA"/>
    <w:rsid w:val="00F0178B"/>
    <w:rsid w:val="00F2166B"/>
    <w:rsid w:val="00F22844"/>
    <w:rsid w:val="00F27103"/>
    <w:rsid w:val="00F3363E"/>
    <w:rsid w:val="00F60D3C"/>
    <w:rsid w:val="00F6123E"/>
    <w:rsid w:val="00F84DCB"/>
    <w:rsid w:val="00F874BB"/>
    <w:rsid w:val="00FA1E8E"/>
    <w:rsid w:val="00FA5196"/>
    <w:rsid w:val="00FC23B2"/>
    <w:rsid w:val="00FC76E0"/>
    <w:rsid w:val="00FD500E"/>
    <w:rsid w:val="00FD574E"/>
    <w:rsid w:val="00FD682C"/>
    <w:rsid w:val="00FD689A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37"/>
  </w:style>
  <w:style w:type="paragraph" w:styleId="1">
    <w:name w:val="heading 1"/>
    <w:basedOn w:val="a"/>
    <w:next w:val="a"/>
    <w:link w:val="10"/>
    <w:qFormat/>
    <w:rsid w:val="00731EE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35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B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5443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BA53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53CF"/>
    <w:pPr>
      <w:widowControl w:val="0"/>
      <w:shd w:val="clear" w:color="auto" w:fill="FFFFFF"/>
      <w:spacing w:before="240" w:after="5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HTML">
    <w:name w:val="HTML Preformatted"/>
    <w:basedOn w:val="a"/>
    <w:link w:val="HTML0"/>
    <w:rsid w:val="00D02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27B3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479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74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31E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заголовок 1"/>
    <w:basedOn w:val="a"/>
    <w:next w:val="a"/>
    <w:rsid w:val="00F2166B"/>
    <w:pPr>
      <w:keepNext/>
      <w:widowControl w:val="0"/>
      <w:autoSpaceDE w:val="0"/>
      <w:autoSpaceDN w:val="0"/>
      <w:spacing w:before="20"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AD0D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37"/>
  </w:style>
  <w:style w:type="paragraph" w:styleId="1">
    <w:name w:val="heading 1"/>
    <w:basedOn w:val="a"/>
    <w:next w:val="a"/>
    <w:link w:val="10"/>
    <w:qFormat/>
    <w:rsid w:val="00731EE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35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B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5443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BA53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53CF"/>
    <w:pPr>
      <w:widowControl w:val="0"/>
      <w:shd w:val="clear" w:color="auto" w:fill="FFFFFF"/>
      <w:spacing w:before="240" w:after="5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HTML">
    <w:name w:val="HTML Preformatted"/>
    <w:basedOn w:val="a"/>
    <w:link w:val="HTML0"/>
    <w:rsid w:val="00D02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27B3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479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74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31E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заголовок 1"/>
    <w:basedOn w:val="a"/>
    <w:next w:val="a"/>
    <w:rsid w:val="00F2166B"/>
    <w:pPr>
      <w:keepNext/>
      <w:widowControl w:val="0"/>
      <w:autoSpaceDE w:val="0"/>
      <w:autoSpaceDN w:val="0"/>
      <w:spacing w:before="20"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AD0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ket@etern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D5413-60B0-44B6-974F-60DD41DF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Герасимов</dc:creator>
  <cp:lastModifiedBy>Мария</cp:lastModifiedBy>
  <cp:revision>3</cp:revision>
  <cp:lastPrinted>2017-08-16T12:08:00Z</cp:lastPrinted>
  <dcterms:created xsi:type="dcterms:W3CDTF">2020-06-02T10:10:00Z</dcterms:created>
  <dcterms:modified xsi:type="dcterms:W3CDTF">2020-06-02T10:13:00Z</dcterms:modified>
</cp:coreProperties>
</file>